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05A2AE09" wp14:editId="4CFB4E6F">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831" w:rsidRDefault="00EF7831">
                            <w:r>
                              <w:rPr>
                                <w:noProof/>
                                <w:lang w:eastAsia="en-GB"/>
                              </w:rPr>
                              <w:drawing>
                                <wp:inline distT="0" distB="0" distL="0" distR="0" wp14:anchorId="256F87E2" wp14:editId="42BCA695">
                                  <wp:extent cx="935355" cy="1254760"/>
                                  <wp:effectExtent l="0" t="0" r="0" b="254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F7831" w:rsidRDefault="00EF7831">
                      <w:r>
                        <w:rPr>
                          <w:noProof/>
                          <w:lang w:eastAsia="en-GB"/>
                        </w:rPr>
                        <w:drawing>
                          <wp:inline distT="0" distB="0" distL="0" distR="0" wp14:anchorId="78ACF62C" wp14:editId="1E6CFC8F">
                            <wp:extent cx="935355" cy="1254760"/>
                            <wp:effectExtent l="0" t="0" r="0" b="254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AF2596">
        <w:rPr>
          <w:rFonts w:cs="Arial"/>
          <w:b/>
          <w:bCs/>
        </w:rPr>
        <w:t>Council</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3E6867">
        <w:rPr>
          <w:rFonts w:cs="Arial"/>
          <w:b/>
          <w:bCs/>
        </w:rPr>
        <w:t>7 December</w:t>
      </w:r>
      <w:r w:rsidR="00AF2596">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717CEF">
      <w:pPr>
        <w:ind w:left="2127" w:hanging="2127"/>
        <w:rPr>
          <w:rFonts w:cs="Arial"/>
          <w:b/>
          <w:bCs/>
        </w:rPr>
      </w:pPr>
      <w:r>
        <w:rPr>
          <w:rFonts w:cs="Arial"/>
          <w:b/>
          <w:bCs/>
        </w:rPr>
        <w:t>Report of:</w:t>
      </w:r>
      <w:r w:rsidR="00EA2FDD">
        <w:rPr>
          <w:rFonts w:cs="Arial"/>
          <w:b/>
          <w:bCs/>
        </w:rPr>
        <w:tab/>
      </w:r>
      <w:r w:rsidR="00422D29">
        <w:rPr>
          <w:rFonts w:cs="Arial"/>
          <w:b/>
          <w:bCs/>
        </w:rPr>
        <w:t xml:space="preserve">Corporate Lead </w:t>
      </w:r>
      <w:r w:rsidR="009B5BD7">
        <w:rPr>
          <w:rFonts w:cs="Arial"/>
          <w:b/>
          <w:bCs/>
        </w:rPr>
        <w:t>(HR</w:t>
      </w:r>
      <w:r w:rsidR="00717CEF">
        <w:rPr>
          <w:rFonts w:cs="Arial"/>
          <w:b/>
          <w:bCs/>
        </w:rPr>
        <w:t xml:space="preserve"> &amp; </w:t>
      </w:r>
      <w:r w:rsidR="009B5BD7">
        <w:rPr>
          <w:rFonts w:cs="Arial"/>
          <w:b/>
          <w:bCs/>
        </w:rPr>
        <w:t>Organisational Development)</w:t>
      </w:r>
      <w:r>
        <w:rPr>
          <w:rFonts w:cs="Arial"/>
          <w:b/>
          <w:bCs/>
        </w:rPr>
        <w:tab/>
      </w:r>
    </w:p>
    <w:p w:rsidR="00F4367A" w:rsidRDefault="00F4367A">
      <w:pPr>
        <w:tabs>
          <w:tab w:val="left" w:pos="2160"/>
        </w:tabs>
        <w:rPr>
          <w:rFonts w:cs="Arial"/>
          <w:b/>
          <w:bCs/>
        </w:rPr>
      </w:pPr>
    </w:p>
    <w:p w:rsidR="00F4367A" w:rsidRDefault="00F4367A" w:rsidP="003E6867">
      <w:pPr>
        <w:tabs>
          <w:tab w:val="left" w:pos="2160"/>
        </w:tabs>
        <w:ind w:left="2127" w:hanging="2127"/>
        <w:rPr>
          <w:rFonts w:cs="Arial"/>
          <w:b/>
          <w:bCs/>
        </w:rPr>
      </w:pPr>
      <w:r>
        <w:rPr>
          <w:rFonts w:cs="Arial"/>
          <w:b/>
          <w:bCs/>
        </w:rPr>
        <w:t>Title of Report:</w:t>
      </w:r>
      <w:r>
        <w:rPr>
          <w:rFonts w:cs="Arial"/>
          <w:b/>
          <w:bCs/>
        </w:rPr>
        <w:tab/>
      </w:r>
      <w:r w:rsidR="00E4644F">
        <w:rPr>
          <w:rFonts w:cs="Arial"/>
          <w:b/>
          <w:bCs/>
        </w:rPr>
        <w:t xml:space="preserve">Proposed </w:t>
      </w:r>
      <w:r w:rsidR="00CA5B70">
        <w:rPr>
          <w:rFonts w:cs="Arial"/>
          <w:b/>
          <w:bCs/>
        </w:rPr>
        <w:t>Revisions to Flexible Retirement Policy</w:t>
      </w:r>
    </w:p>
    <w:p w:rsidR="00F4367A" w:rsidRDefault="00F4367A">
      <w:pPr>
        <w:rPr>
          <w:rFonts w:cs="Arial"/>
        </w:rPr>
      </w:pPr>
    </w:p>
    <w:p w:rsidR="00F4367A" w:rsidRDefault="00F4367A" w:rsidP="001C379D">
      <w:pPr>
        <w:pStyle w:val="Heading1"/>
        <w:pBdr>
          <w:top w:val="single" w:sz="4" w:space="1" w:color="auto"/>
          <w:left w:val="single" w:sz="4" w:space="4" w:color="auto"/>
          <w:bottom w:val="single" w:sz="4" w:space="0" w:color="auto"/>
          <w:right w:val="single" w:sz="4" w:space="4" w:color="auto"/>
        </w:pBdr>
        <w:jc w:val="center"/>
        <w:rPr>
          <w:u w:val="single"/>
        </w:rPr>
      </w:pPr>
    </w:p>
    <w:p w:rsidR="00F4367A" w:rsidRDefault="00F4367A" w:rsidP="001C379D">
      <w:pPr>
        <w:pStyle w:val="Heading1"/>
        <w:pBdr>
          <w:top w:val="single" w:sz="4" w:space="1" w:color="auto"/>
          <w:left w:val="single" w:sz="4" w:space="4" w:color="auto"/>
          <w:bottom w:val="single" w:sz="4" w:space="0" w:color="auto"/>
          <w:right w:val="single" w:sz="4" w:space="4" w:color="auto"/>
        </w:pBdr>
        <w:jc w:val="center"/>
        <w:rPr>
          <w:u w:val="single"/>
        </w:rPr>
      </w:pPr>
      <w:r>
        <w:rPr>
          <w:u w:val="single"/>
        </w:rPr>
        <w:t>Summary and Recommendations</w:t>
      </w:r>
    </w:p>
    <w:p w:rsidR="00F4367A" w:rsidRDefault="00F4367A" w:rsidP="001C379D">
      <w:pPr>
        <w:pBdr>
          <w:top w:val="single" w:sz="4" w:space="1" w:color="auto"/>
          <w:left w:val="single" w:sz="4" w:space="4" w:color="auto"/>
          <w:bottom w:val="single" w:sz="4" w:space="0" w:color="auto"/>
          <w:right w:val="single" w:sz="4" w:space="4" w:color="auto"/>
        </w:pBdr>
        <w:rPr>
          <w:rFonts w:cs="Arial"/>
        </w:rPr>
      </w:pPr>
    </w:p>
    <w:p w:rsidR="00CA5B70" w:rsidRDefault="00F4367A" w:rsidP="001C379D">
      <w:pPr>
        <w:pBdr>
          <w:top w:val="single" w:sz="4" w:space="1" w:color="auto"/>
          <w:left w:val="single" w:sz="4" w:space="4" w:color="auto"/>
          <w:bottom w:val="single" w:sz="4" w:space="0" w:color="auto"/>
          <w:right w:val="single" w:sz="4" w:space="4" w:color="auto"/>
        </w:pBdr>
        <w:rPr>
          <w:rFonts w:cs="Arial"/>
        </w:rPr>
      </w:pPr>
      <w:r>
        <w:rPr>
          <w:rFonts w:cs="Arial"/>
          <w:b/>
          <w:bCs/>
        </w:rPr>
        <w:t>Purpose of report</w:t>
      </w:r>
      <w:r>
        <w:rPr>
          <w:rFonts w:cs="Arial"/>
        </w:rPr>
        <w:t xml:space="preserve">:  </w:t>
      </w:r>
      <w:r w:rsidR="00AF2596">
        <w:rPr>
          <w:rFonts w:cs="Arial"/>
        </w:rPr>
        <w:t>To present for approval</w:t>
      </w:r>
      <w:r w:rsidR="00CA5B70">
        <w:rPr>
          <w:rFonts w:cs="Arial"/>
        </w:rPr>
        <w:t xml:space="preserve"> </w:t>
      </w:r>
      <w:r w:rsidR="00DB176F">
        <w:rPr>
          <w:rFonts w:cs="Arial"/>
        </w:rPr>
        <w:t xml:space="preserve">two </w:t>
      </w:r>
      <w:r w:rsidR="00CA5B70">
        <w:rPr>
          <w:rFonts w:cs="Arial"/>
        </w:rPr>
        <w:t xml:space="preserve">revisions to the </w:t>
      </w:r>
      <w:r w:rsidR="00E4644F">
        <w:rPr>
          <w:rFonts w:cs="Arial"/>
        </w:rPr>
        <w:t xml:space="preserve">Council’s </w:t>
      </w:r>
      <w:r w:rsidR="00CD1A7C">
        <w:rPr>
          <w:rFonts w:cs="Arial"/>
        </w:rPr>
        <w:t>Flexible Retirement Policy</w:t>
      </w:r>
    </w:p>
    <w:p w:rsidR="00F4367A" w:rsidRDefault="00F4367A" w:rsidP="001C379D">
      <w:pPr>
        <w:pBdr>
          <w:top w:val="single" w:sz="4" w:space="1" w:color="auto"/>
          <w:left w:val="single" w:sz="4" w:space="4" w:color="auto"/>
          <w:bottom w:val="single" w:sz="4" w:space="0"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1C379D">
      <w:pPr>
        <w:pStyle w:val="Heading1"/>
        <w:pBdr>
          <w:top w:val="single" w:sz="4" w:space="1" w:color="auto"/>
          <w:left w:val="single" w:sz="4" w:space="4" w:color="auto"/>
          <w:bottom w:val="single" w:sz="4" w:space="0" w:color="auto"/>
          <w:right w:val="single" w:sz="4" w:space="4" w:color="auto"/>
        </w:pBdr>
        <w:tabs>
          <w:tab w:val="left" w:pos="3062"/>
        </w:tabs>
        <w:rPr>
          <w:bCs w:val="0"/>
        </w:rPr>
      </w:pPr>
      <w:r>
        <w:rPr>
          <w:bCs w:val="0"/>
        </w:rPr>
        <w:t xml:space="preserve">Key </w:t>
      </w:r>
      <w:proofErr w:type="gramStart"/>
      <w:r>
        <w:rPr>
          <w:bCs w:val="0"/>
        </w:rPr>
        <w:t xml:space="preserve">decision </w:t>
      </w:r>
      <w:r>
        <w:rPr>
          <w:b w:val="0"/>
          <w:bCs w:val="0"/>
          <w:i/>
        </w:rPr>
        <w:t xml:space="preserve"> </w:t>
      </w:r>
      <w:r w:rsidRPr="00C474D6">
        <w:rPr>
          <w:b w:val="0"/>
          <w:bCs w:val="0"/>
        </w:rPr>
        <w:t>No</w:t>
      </w:r>
      <w:proofErr w:type="gramEnd"/>
      <w:r w:rsidR="00F4367A">
        <w:rPr>
          <w:bCs w:val="0"/>
        </w:rPr>
        <w:t xml:space="preserve"> </w:t>
      </w:r>
    </w:p>
    <w:p w:rsidR="00F4367A" w:rsidRDefault="00F4367A" w:rsidP="001C379D">
      <w:pPr>
        <w:pBdr>
          <w:top w:val="single" w:sz="4" w:space="1" w:color="auto"/>
          <w:left w:val="single" w:sz="4" w:space="4" w:color="auto"/>
          <w:bottom w:val="single" w:sz="4" w:space="0" w:color="auto"/>
          <w:right w:val="single" w:sz="4" w:space="4" w:color="auto"/>
        </w:pBdr>
        <w:rPr>
          <w:rFonts w:cs="Arial"/>
        </w:rPr>
      </w:pPr>
    </w:p>
    <w:p w:rsidR="00F4367A" w:rsidRDefault="00F4367A" w:rsidP="001C379D">
      <w:pPr>
        <w:pBdr>
          <w:top w:val="single" w:sz="4" w:space="1" w:color="auto"/>
          <w:left w:val="single" w:sz="4" w:space="4" w:color="auto"/>
          <w:bottom w:val="single" w:sz="4" w:space="0" w:color="auto"/>
          <w:right w:val="single" w:sz="4" w:space="4" w:color="auto"/>
        </w:pBdr>
        <w:rPr>
          <w:rFonts w:cs="Arial"/>
          <w:b/>
          <w:bCs/>
        </w:rPr>
      </w:pPr>
      <w:r>
        <w:rPr>
          <w:rFonts w:cs="Arial"/>
          <w:b/>
          <w:bCs/>
        </w:rPr>
        <w:t xml:space="preserve">Executive lead member: </w:t>
      </w:r>
      <w:r w:rsidR="00AF2596" w:rsidRPr="00AF2596">
        <w:rPr>
          <w:rFonts w:cs="Arial"/>
          <w:bCs/>
        </w:rPr>
        <w:t xml:space="preserve">Councillor </w:t>
      </w:r>
      <w:r w:rsidR="00717CEF">
        <w:rPr>
          <w:rFonts w:cs="Arial"/>
          <w:bCs/>
        </w:rPr>
        <w:t>Susan Brown</w:t>
      </w:r>
    </w:p>
    <w:p w:rsidR="00F4367A" w:rsidRDefault="00F4367A" w:rsidP="001C379D">
      <w:pPr>
        <w:pStyle w:val="Heading1"/>
        <w:pBdr>
          <w:top w:val="single" w:sz="4" w:space="1" w:color="auto"/>
          <w:left w:val="single" w:sz="4" w:space="4" w:color="auto"/>
          <w:bottom w:val="single" w:sz="4" w:space="0" w:color="auto"/>
          <w:right w:val="single" w:sz="4" w:space="4" w:color="auto"/>
        </w:pBdr>
      </w:pPr>
    </w:p>
    <w:p w:rsidR="00F4367A" w:rsidRPr="00AF2596" w:rsidRDefault="00F4367A" w:rsidP="001C379D">
      <w:pPr>
        <w:pBdr>
          <w:top w:val="single" w:sz="4" w:space="1" w:color="auto"/>
          <w:left w:val="single" w:sz="4" w:space="4" w:color="auto"/>
          <w:bottom w:val="single" w:sz="4" w:space="0" w:color="auto"/>
          <w:right w:val="single" w:sz="4" w:space="4" w:color="auto"/>
        </w:pBdr>
        <w:rPr>
          <w:rFonts w:cs="Arial"/>
          <w:bCs/>
        </w:rPr>
      </w:pPr>
      <w:r>
        <w:rPr>
          <w:rFonts w:cs="Arial"/>
          <w:b/>
          <w:bCs/>
        </w:rPr>
        <w:t xml:space="preserve">Policy Framework: </w:t>
      </w:r>
      <w:r w:rsidR="00AF2596">
        <w:rPr>
          <w:rFonts w:cs="Arial"/>
          <w:b/>
          <w:bCs/>
        </w:rPr>
        <w:t>Corporate Plan Priority ‘</w:t>
      </w:r>
      <w:r w:rsidR="00AF2596">
        <w:rPr>
          <w:rFonts w:cs="Arial"/>
          <w:bCs/>
        </w:rPr>
        <w:t>Effective and Efficient Council’</w:t>
      </w:r>
    </w:p>
    <w:p w:rsidR="00F4367A" w:rsidRDefault="00F4367A" w:rsidP="001C379D">
      <w:pPr>
        <w:pStyle w:val="Heading1"/>
        <w:pBdr>
          <w:top w:val="single" w:sz="4" w:space="1" w:color="auto"/>
          <w:left w:val="single" w:sz="4" w:space="4" w:color="auto"/>
          <w:bottom w:val="single" w:sz="4" w:space="0" w:color="auto"/>
          <w:right w:val="single" w:sz="4" w:space="4" w:color="auto"/>
        </w:pBdr>
      </w:pPr>
    </w:p>
    <w:p w:rsidR="00025A8B" w:rsidRDefault="00F4367A" w:rsidP="001C379D">
      <w:pPr>
        <w:pBdr>
          <w:top w:val="single" w:sz="4" w:space="1" w:color="auto"/>
          <w:left w:val="single" w:sz="4" w:space="4" w:color="auto"/>
          <w:bottom w:val="single" w:sz="4" w:space="0" w:color="auto"/>
          <w:right w:val="single" w:sz="4" w:space="4" w:color="auto"/>
        </w:pBdr>
        <w:tabs>
          <w:tab w:val="left" w:pos="3048"/>
        </w:tabs>
        <w:rPr>
          <w:rFonts w:cs="Arial"/>
          <w:b/>
        </w:rPr>
      </w:pPr>
      <w:r>
        <w:rPr>
          <w:rFonts w:cs="Arial"/>
          <w:b/>
        </w:rPr>
        <w:t>Recommendation(s):</w:t>
      </w:r>
      <w:r w:rsidR="00DE51A9">
        <w:rPr>
          <w:rFonts w:cs="Arial"/>
          <w:b/>
        </w:rPr>
        <w:t xml:space="preserve"> </w:t>
      </w:r>
      <w:r w:rsidR="00DE51A9">
        <w:rPr>
          <w:rFonts w:cs="Arial"/>
        </w:rPr>
        <w:t>Council is</w:t>
      </w:r>
      <w:r w:rsidR="00CF05C6" w:rsidRPr="00DE51A9">
        <w:rPr>
          <w:rFonts w:cs="Arial"/>
        </w:rPr>
        <w:t xml:space="preserve"> recommended to:</w:t>
      </w:r>
    </w:p>
    <w:p w:rsidR="00025A8B" w:rsidRDefault="00025A8B" w:rsidP="001C379D">
      <w:pPr>
        <w:pBdr>
          <w:top w:val="single" w:sz="4" w:space="1" w:color="auto"/>
          <w:left w:val="single" w:sz="4" w:space="4" w:color="auto"/>
          <w:bottom w:val="single" w:sz="4" w:space="0" w:color="auto"/>
          <w:right w:val="single" w:sz="4" w:space="4" w:color="auto"/>
        </w:pBdr>
        <w:tabs>
          <w:tab w:val="left" w:pos="3048"/>
        </w:tabs>
        <w:rPr>
          <w:rFonts w:cs="Arial"/>
          <w:b/>
        </w:rPr>
      </w:pPr>
    </w:p>
    <w:p w:rsidR="00CA5B70" w:rsidRDefault="00CA5B70"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1</w:t>
      </w:r>
      <w:r w:rsidR="00CD1A7C">
        <w:rPr>
          <w:rFonts w:cs="Arial"/>
        </w:rPr>
        <w:t xml:space="preserve">) Approve </w:t>
      </w:r>
      <w:r w:rsidR="00DB176F">
        <w:rPr>
          <w:rFonts w:cs="Arial"/>
        </w:rPr>
        <w:t xml:space="preserve">two </w:t>
      </w:r>
      <w:r>
        <w:rPr>
          <w:rFonts w:cs="Arial"/>
        </w:rPr>
        <w:t xml:space="preserve">revisions to the </w:t>
      </w:r>
      <w:r w:rsidR="00CD1A7C">
        <w:rPr>
          <w:rFonts w:cs="Arial"/>
        </w:rPr>
        <w:t>Flexible Retirement Policy</w:t>
      </w:r>
      <w:r w:rsidR="00E25B2F" w:rsidRPr="00CE782B">
        <w:rPr>
          <w:rFonts w:cs="Arial"/>
        </w:rPr>
        <w:t xml:space="preserve"> </w:t>
      </w:r>
      <w:r>
        <w:rPr>
          <w:rFonts w:cs="Arial"/>
        </w:rPr>
        <w:t xml:space="preserve">(incorporated within the </w:t>
      </w:r>
      <w:r w:rsidR="00DB176F">
        <w:rPr>
          <w:rFonts w:cs="Arial"/>
        </w:rPr>
        <w:t xml:space="preserve">existing </w:t>
      </w:r>
      <w:r>
        <w:rPr>
          <w:rFonts w:cs="Arial"/>
        </w:rPr>
        <w:t xml:space="preserve">Pension &amp; Retirement Options Statement </w:t>
      </w:r>
      <w:r w:rsidR="00CD1A7C" w:rsidRPr="00CE782B">
        <w:rPr>
          <w:rFonts w:cs="Arial"/>
        </w:rPr>
        <w:t>a</w:t>
      </w:r>
      <w:r>
        <w:rPr>
          <w:rFonts w:cs="Arial"/>
        </w:rPr>
        <w:t>ttached at Appendix 1) with effect from 8</w:t>
      </w:r>
      <w:r w:rsidRPr="00CA5B70">
        <w:rPr>
          <w:rFonts w:cs="Arial"/>
          <w:vertAlign w:val="superscript"/>
        </w:rPr>
        <w:t>th</w:t>
      </w:r>
      <w:r>
        <w:rPr>
          <w:rFonts w:cs="Arial"/>
        </w:rPr>
        <w:t xml:space="preserve"> January 2016, namely:</w:t>
      </w:r>
    </w:p>
    <w:p w:rsidR="00CA5B70" w:rsidRDefault="00CA5B70" w:rsidP="001C379D">
      <w:pPr>
        <w:pBdr>
          <w:top w:val="single" w:sz="4" w:space="1" w:color="auto"/>
          <w:left w:val="single" w:sz="4" w:space="4" w:color="auto"/>
          <w:bottom w:val="single" w:sz="4" w:space="0" w:color="auto"/>
          <w:right w:val="single" w:sz="4" w:space="4" w:color="auto"/>
        </w:pBdr>
        <w:tabs>
          <w:tab w:val="left" w:pos="3048"/>
        </w:tabs>
        <w:rPr>
          <w:rFonts w:cs="Arial"/>
        </w:rPr>
      </w:pPr>
    </w:p>
    <w:p w:rsidR="00422D29" w:rsidRDefault="00CA5B70"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 xml:space="preserve">a) </w:t>
      </w:r>
      <w:proofErr w:type="gramStart"/>
      <w:r w:rsidR="00655C23">
        <w:rPr>
          <w:rFonts w:cs="Arial"/>
        </w:rPr>
        <w:t>to</w:t>
      </w:r>
      <w:proofErr w:type="gramEnd"/>
      <w:r w:rsidR="00655C23">
        <w:rPr>
          <w:rFonts w:cs="Arial"/>
        </w:rPr>
        <w:t xml:space="preserve"> </w:t>
      </w:r>
      <w:r>
        <w:rPr>
          <w:rFonts w:cs="Arial"/>
        </w:rPr>
        <w:t>permit employees to choose a ‘partial draw-down’ of benefits; and</w:t>
      </w:r>
    </w:p>
    <w:p w:rsidR="00CA5B70" w:rsidRDefault="00CA5B70"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 xml:space="preserve">b) </w:t>
      </w:r>
      <w:proofErr w:type="gramStart"/>
      <w:r>
        <w:rPr>
          <w:rFonts w:cs="Arial"/>
        </w:rPr>
        <w:t>reduce</w:t>
      </w:r>
      <w:proofErr w:type="gramEnd"/>
      <w:r>
        <w:rPr>
          <w:rFonts w:cs="Arial"/>
        </w:rPr>
        <w:t xml:space="preserve"> the minimum level of salary/hours reduction </w:t>
      </w:r>
      <w:r w:rsidR="00655C23">
        <w:rPr>
          <w:rFonts w:cs="Arial"/>
        </w:rPr>
        <w:t xml:space="preserve">from 40% </w:t>
      </w:r>
      <w:r>
        <w:rPr>
          <w:rFonts w:cs="Arial"/>
        </w:rPr>
        <w:t>to 20%</w:t>
      </w:r>
    </w:p>
    <w:p w:rsidR="00CA5B70" w:rsidRDefault="00CA5B70" w:rsidP="001C379D">
      <w:pPr>
        <w:pBdr>
          <w:top w:val="single" w:sz="4" w:space="1" w:color="auto"/>
          <w:left w:val="single" w:sz="4" w:space="4" w:color="auto"/>
          <w:bottom w:val="single" w:sz="4" w:space="0" w:color="auto"/>
          <w:right w:val="single" w:sz="4" w:space="4" w:color="auto"/>
        </w:pBdr>
        <w:tabs>
          <w:tab w:val="left" w:pos="3048"/>
        </w:tabs>
        <w:rPr>
          <w:rFonts w:cs="Arial"/>
        </w:rPr>
      </w:pPr>
    </w:p>
    <w:p w:rsidR="00F4367A" w:rsidRPr="00025A8B" w:rsidRDefault="00CA5B70"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2</w:t>
      </w:r>
      <w:r w:rsidR="001C379D">
        <w:rPr>
          <w:rFonts w:cs="Arial"/>
        </w:rPr>
        <w:t xml:space="preserve">) </w:t>
      </w:r>
      <w:r w:rsidR="00CF05C6">
        <w:rPr>
          <w:rFonts w:cs="Arial"/>
        </w:rPr>
        <w:t xml:space="preserve">Authorise </w:t>
      </w:r>
      <w:r w:rsidR="001C379D">
        <w:rPr>
          <w:rFonts w:cs="Arial"/>
        </w:rPr>
        <w:t xml:space="preserve">the </w:t>
      </w:r>
      <w:r w:rsidR="009B5BD7">
        <w:rPr>
          <w:rFonts w:cs="Arial"/>
        </w:rPr>
        <w:t xml:space="preserve">Corporate Lead </w:t>
      </w:r>
      <w:r w:rsidR="00717CEF">
        <w:rPr>
          <w:rFonts w:cs="Arial"/>
        </w:rPr>
        <w:t xml:space="preserve">for </w:t>
      </w:r>
      <w:r w:rsidR="009B5BD7">
        <w:rPr>
          <w:rFonts w:cs="Arial"/>
        </w:rPr>
        <w:t xml:space="preserve">HR </w:t>
      </w:r>
      <w:r w:rsidR="009D24D1">
        <w:rPr>
          <w:rFonts w:cs="Arial"/>
        </w:rPr>
        <w:t>&amp;</w:t>
      </w:r>
      <w:r w:rsidR="00717CEF">
        <w:rPr>
          <w:rFonts w:cs="Arial"/>
        </w:rPr>
        <w:t xml:space="preserve"> </w:t>
      </w:r>
      <w:r w:rsidR="009B5BD7">
        <w:rPr>
          <w:rFonts w:cs="Arial"/>
        </w:rPr>
        <w:t>O</w:t>
      </w:r>
      <w:r w:rsidR="00717CEF">
        <w:rPr>
          <w:rFonts w:cs="Arial"/>
        </w:rPr>
        <w:t xml:space="preserve">rganisational </w:t>
      </w:r>
      <w:r w:rsidR="009B5BD7">
        <w:rPr>
          <w:rFonts w:cs="Arial"/>
        </w:rPr>
        <w:t>D</w:t>
      </w:r>
      <w:r w:rsidR="00717CEF">
        <w:rPr>
          <w:rFonts w:cs="Arial"/>
        </w:rPr>
        <w:t>evelopment</w:t>
      </w:r>
      <w:r w:rsidR="001C379D">
        <w:rPr>
          <w:rFonts w:cs="Arial"/>
        </w:rPr>
        <w:t xml:space="preserve"> </w:t>
      </w:r>
      <w:r w:rsidR="00655C23">
        <w:rPr>
          <w:rFonts w:cs="Arial"/>
        </w:rPr>
        <w:t>in conjunction with the Head of L</w:t>
      </w:r>
      <w:r w:rsidR="00555FF2">
        <w:rPr>
          <w:rFonts w:cs="Arial"/>
        </w:rPr>
        <w:t>aw and Governance</w:t>
      </w:r>
      <w:r w:rsidR="00655C23">
        <w:rPr>
          <w:rFonts w:cs="Arial"/>
        </w:rPr>
        <w:t xml:space="preserve"> </w:t>
      </w:r>
      <w:r w:rsidR="004F3887">
        <w:rPr>
          <w:rFonts w:cs="Arial"/>
        </w:rPr>
        <w:t>and Director for Organisational Development and C</w:t>
      </w:r>
      <w:r w:rsidR="00555FF2">
        <w:rPr>
          <w:rFonts w:cs="Arial"/>
        </w:rPr>
        <w:t>orporate</w:t>
      </w:r>
      <w:r w:rsidR="004F3887">
        <w:rPr>
          <w:rFonts w:cs="Arial"/>
        </w:rPr>
        <w:t xml:space="preserve"> Services </w:t>
      </w:r>
      <w:r w:rsidR="001C379D">
        <w:rPr>
          <w:rFonts w:cs="Arial"/>
        </w:rPr>
        <w:t>to</w:t>
      </w:r>
      <w:r w:rsidR="00B438B9">
        <w:rPr>
          <w:rFonts w:cs="Arial"/>
        </w:rPr>
        <w:t xml:space="preserve"> amend </w:t>
      </w:r>
      <w:r w:rsidR="00CA2320">
        <w:rPr>
          <w:rFonts w:cs="Arial"/>
        </w:rPr>
        <w:t>the polic</w:t>
      </w:r>
      <w:r w:rsidR="00CD1A7C">
        <w:rPr>
          <w:rFonts w:cs="Arial"/>
        </w:rPr>
        <w:t>y</w:t>
      </w:r>
      <w:r w:rsidR="001C379D">
        <w:rPr>
          <w:rFonts w:cs="Arial"/>
        </w:rPr>
        <w:t xml:space="preserve"> </w:t>
      </w:r>
      <w:r w:rsidR="00B438B9">
        <w:rPr>
          <w:rFonts w:cs="Arial"/>
        </w:rPr>
        <w:t>from time to time in order to correct any factual or legal errors</w:t>
      </w:r>
      <w:r w:rsidR="001C379D">
        <w:rPr>
          <w:rFonts w:cs="Arial"/>
        </w:rPr>
        <w:t>.</w:t>
      </w:r>
    </w:p>
    <w:p w:rsidR="00F4367A" w:rsidRDefault="00F4367A" w:rsidP="001C379D">
      <w:pPr>
        <w:pBdr>
          <w:top w:val="single" w:sz="4" w:space="1" w:color="auto"/>
          <w:left w:val="single" w:sz="4" w:space="4" w:color="auto"/>
          <w:bottom w:val="single" w:sz="4" w:space="0"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B438B9" w:rsidRDefault="00B438B9" w:rsidP="00B438B9">
      <w:pPr>
        <w:autoSpaceDE w:val="0"/>
        <w:autoSpaceDN w:val="0"/>
        <w:adjustRightInd w:val="0"/>
        <w:rPr>
          <w:rFonts w:cs="Arial"/>
          <w:color w:val="000000"/>
        </w:rPr>
      </w:pPr>
      <w:r>
        <w:rPr>
          <w:rFonts w:cs="Arial"/>
          <w:color w:val="000000"/>
        </w:rPr>
        <w:t xml:space="preserve">Appendix 1 </w:t>
      </w:r>
      <w:r w:rsidR="00422D29">
        <w:rPr>
          <w:rFonts w:cs="Arial"/>
          <w:color w:val="000000"/>
        </w:rPr>
        <w:t>–</w:t>
      </w:r>
      <w:r>
        <w:rPr>
          <w:rFonts w:cs="Arial"/>
          <w:color w:val="000000"/>
        </w:rPr>
        <w:t xml:space="preserve"> </w:t>
      </w:r>
      <w:r w:rsidR="00C474D6">
        <w:rPr>
          <w:rFonts w:cs="Arial"/>
          <w:color w:val="000000"/>
        </w:rPr>
        <w:t xml:space="preserve">Pensions and Retirement Options </w:t>
      </w:r>
      <w:r w:rsidR="00CA5B70">
        <w:rPr>
          <w:rFonts w:cs="Arial"/>
          <w:color w:val="000000"/>
        </w:rPr>
        <w:t xml:space="preserve">Statement </w:t>
      </w:r>
      <w:r w:rsidR="00C474D6">
        <w:rPr>
          <w:rFonts w:cs="Arial"/>
          <w:color w:val="000000"/>
        </w:rPr>
        <w:t xml:space="preserve">containing </w:t>
      </w:r>
      <w:r w:rsidR="003E6867">
        <w:rPr>
          <w:rFonts w:cs="Arial"/>
          <w:color w:val="000000"/>
        </w:rPr>
        <w:t>Flexible Retirement Policy</w:t>
      </w:r>
    </w:p>
    <w:p w:rsidR="00713675" w:rsidRDefault="007B6E54">
      <w:pPr>
        <w:rPr>
          <w:rFonts w:cs="Arial"/>
        </w:rPr>
      </w:pPr>
      <w:r>
        <w:rPr>
          <w:rFonts w:cs="Arial"/>
        </w:rPr>
        <w:t xml:space="preserve">Appendix </w:t>
      </w:r>
      <w:r w:rsidR="003E6867">
        <w:rPr>
          <w:rFonts w:cs="Arial"/>
        </w:rPr>
        <w:t>2</w:t>
      </w:r>
      <w:r w:rsidR="00414B21">
        <w:rPr>
          <w:rFonts w:cs="Arial"/>
        </w:rPr>
        <w:t xml:space="preserve"> -</w:t>
      </w:r>
      <w:r>
        <w:rPr>
          <w:rFonts w:cs="Arial"/>
        </w:rPr>
        <w:t xml:space="preserve"> Risk Register</w:t>
      </w:r>
    </w:p>
    <w:p w:rsidR="007B6E54" w:rsidRDefault="007B6E54">
      <w:pPr>
        <w:rPr>
          <w:rFonts w:cs="Arial"/>
        </w:rPr>
      </w:pPr>
      <w:r>
        <w:rPr>
          <w:rFonts w:cs="Arial"/>
        </w:rPr>
        <w:t xml:space="preserve">Appendix </w:t>
      </w:r>
      <w:r w:rsidR="003E6867">
        <w:rPr>
          <w:rFonts w:cs="Arial"/>
        </w:rPr>
        <w:t>3</w:t>
      </w:r>
      <w:r w:rsidR="00414B21">
        <w:rPr>
          <w:rFonts w:cs="Arial"/>
        </w:rPr>
        <w:t xml:space="preserve"> -</w:t>
      </w:r>
      <w:r>
        <w:rPr>
          <w:rFonts w:cs="Arial"/>
        </w:rPr>
        <w:t xml:space="preserve"> Equalities Impact Assessment</w:t>
      </w:r>
    </w:p>
    <w:p w:rsidR="007B6E54" w:rsidRDefault="007B6E54">
      <w:pPr>
        <w:rPr>
          <w:rFonts w:cs="Arial"/>
          <w:i/>
        </w:rPr>
      </w:pPr>
    </w:p>
    <w:p w:rsidR="00252B61" w:rsidRPr="00252B61" w:rsidRDefault="00943BBF" w:rsidP="00252B61">
      <w:pPr>
        <w:rPr>
          <w:rFonts w:cs="Arial"/>
          <w:b/>
        </w:rPr>
      </w:pPr>
      <w:r>
        <w:rPr>
          <w:rFonts w:cs="Arial"/>
          <w:b/>
        </w:rPr>
        <w:t>Introduction</w:t>
      </w:r>
    </w:p>
    <w:p w:rsidR="00252B61" w:rsidRDefault="00252B61" w:rsidP="00252B61">
      <w:pPr>
        <w:rPr>
          <w:rFonts w:cs="Arial"/>
          <w:i/>
        </w:rPr>
      </w:pPr>
    </w:p>
    <w:p w:rsidR="008D23F3" w:rsidRDefault="008D23F3" w:rsidP="008D23F3">
      <w:pPr>
        <w:pStyle w:val="ListParagraph"/>
        <w:numPr>
          <w:ilvl w:val="0"/>
          <w:numId w:val="5"/>
        </w:numPr>
      </w:pPr>
      <w:r>
        <w:t>T</w:t>
      </w:r>
      <w:r w:rsidRPr="00B05C16">
        <w:t xml:space="preserve">his policy </w:t>
      </w:r>
      <w:r>
        <w:t xml:space="preserve">is under review </w:t>
      </w:r>
      <w:r w:rsidRPr="00B05C16">
        <w:t xml:space="preserve">as more effective use of the flexible retirement discretion could assist </w:t>
      </w:r>
      <w:r w:rsidR="00E016A6">
        <w:t>in workforce planning, improve</w:t>
      </w:r>
      <w:r w:rsidRPr="00B05C16">
        <w:t xml:space="preserve"> service provision, </w:t>
      </w:r>
      <w:r w:rsidR="00E016A6">
        <w:t>deliver financial savings, improve employee</w:t>
      </w:r>
      <w:r w:rsidRPr="00B05C16">
        <w:t xml:space="preserve"> work/life balance and </w:t>
      </w:r>
      <w:r w:rsidR="00E016A6">
        <w:t xml:space="preserve">help </w:t>
      </w:r>
      <w:r w:rsidRPr="00B05C16">
        <w:t xml:space="preserve">transition into retirement. </w:t>
      </w:r>
      <w:r w:rsidR="00657CEE">
        <w:t>There</w:t>
      </w:r>
      <w:r w:rsidR="00BC7963">
        <w:t xml:space="preserve">by </w:t>
      </w:r>
      <w:r w:rsidRPr="00B05C16">
        <w:t>benefit</w:t>
      </w:r>
      <w:r w:rsidR="00BC7963">
        <w:t>ing both</w:t>
      </w:r>
      <w:r w:rsidRPr="00B05C16">
        <w:t xml:space="preserve"> the Council and its employees. </w:t>
      </w:r>
    </w:p>
    <w:p w:rsidR="004335A8" w:rsidRDefault="004335A8" w:rsidP="004335A8">
      <w:pPr>
        <w:pStyle w:val="ListParagraph"/>
      </w:pPr>
    </w:p>
    <w:p w:rsidR="00452DE3" w:rsidRDefault="00452DE3" w:rsidP="00452DE3">
      <w:pPr>
        <w:pStyle w:val="ListParagraph"/>
        <w:numPr>
          <w:ilvl w:val="0"/>
          <w:numId w:val="5"/>
        </w:numPr>
      </w:pPr>
      <w:r>
        <w:t xml:space="preserve">As per the Local Government Pension Scheme </w:t>
      </w:r>
      <w:r w:rsidR="00B05C16">
        <w:t>(LGPS) Regulations</w:t>
      </w:r>
      <w:r w:rsidR="00E016A6">
        <w:t>,</w:t>
      </w:r>
      <w:r>
        <w:t xml:space="preserve"> t</w:t>
      </w:r>
      <w:r w:rsidRPr="009E0198">
        <w:t xml:space="preserve">he Council has an agreed policy in place regarding what discretions it applies in relation to various aspects </w:t>
      </w:r>
      <w:r>
        <w:t xml:space="preserve">of </w:t>
      </w:r>
      <w:r w:rsidRPr="009E0198">
        <w:t xml:space="preserve">retirement. </w:t>
      </w:r>
      <w:r>
        <w:t>The current policy was approved in April 2014</w:t>
      </w:r>
      <w:r w:rsidR="00887C18">
        <w:t xml:space="preserve"> and </w:t>
      </w:r>
      <w:r w:rsidR="009174E6">
        <w:t>a</w:t>
      </w:r>
      <w:r w:rsidR="00887C18">
        <w:t xml:space="preserve"> Flexible Retirement Policy has been in place since 2008</w:t>
      </w:r>
      <w:r>
        <w:t xml:space="preserve">. </w:t>
      </w:r>
      <w:r w:rsidR="00B05C16">
        <w:t>There are</w:t>
      </w:r>
      <w:r w:rsidRPr="009E0198">
        <w:t xml:space="preserve"> up</w:t>
      </w:r>
      <w:r>
        <w:t xml:space="preserve"> </w:t>
      </w:r>
      <w:r w:rsidR="00E42DE4">
        <w:t>to three</w:t>
      </w:r>
      <w:r w:rsidRPr="009E0198">
        <w:t xml:space="preserve"> </w:t>
      </w:r>
      <w:r w:rsidR="00C65444">
        <w:t xml:space="preserve">LGPS </w:t>
      </w:r>
      <w:r w:rsidR="00B05C16">
        <w:t xml:space="preserve">pension </w:t>
      </w:r>
      <w:r w:rsidRPr="009E0198">
        <w:t xml:space="preserve">schemes </w:t>
      </w:r>
      <w:r>
        <w:t xml:space="preserve">to </w:t>
      </w:r>
      <w:r w:rsidRPr="009E0198">
        <w:t xml:space="preserve">which </w:t>
      </w:r>
      <w:r>
        <w:t>employees may have membership</w:t>
      </w:r>
      <w:r w:rsidRPr="009E0198">
        <w:t>.</w:t>
      </w:r>
    </w:p>
    <w:p w:rsidR="009D39A7" w:rsidRDefault="009D39A7" w:rsidP="009D39A7">
      <w:pPr>
        <w:pStyle w:val="ListParagraph"/>
      </w:pPr>
    </w:p>
    <w:p w:rsidR="00C34E00" w:rsidRDefault="00C34E00" w:rsidP="009D39A7">
      <w:pPr>
        <w:pStyle w:val="ListParagraph"/>
        <w:numPr>
          <w:ilvl w:val="0"/>
          <w:numId w:val="5"/>
        </w:numPr>
      </w:pPr>
      <w:r>
        <w:t xml:space="preserve">In the last 3 years there have been 9 applications for flexible retirement, all of which have been approved. </w:t>
      </w:r>
    </w:p>
    <w:p w:rsidR="00C34E00" w:rsidRDefault="00C34E00" w:rsidP="00C34E00">
      <w:pPr>
        <w:pStyle w:val="ListParagraph"/>
      </w:pPr>
    </w:p>
    <w:p w:rsidR="009D39A7" w:rsidRDefault="009D39A7" w:rsidP="009D39A7">
      <w:pPr>
        <w:pStyle w:val="ListParagraph"/>
        <w:numPr>
          <w:ilvl w:val="0"/>
          <w:numId w:val="5"/>
        </w:numPr>
      </w:pPr>
      <w:r>
        <w:t>The two flexible retirement areas of discretion which are subject to review in this report are:</w:t>
      </w:r>
    </w:p>
    <w:p w:rsidR="009D39A7" w:rsidRDefault="009D39A7" w:rsidP="009D39A7">
      <w:pPr>
        <w:pStyle w:val="ListParagraph"/>
      </w:pPr>
    </w:p>
    <w:p w:rsidR="009D39A7" w:rsidRDefault="009D39A7" w:rsidP="009D39A7">
      <w:pPr>
        <w:pStyle w:val="ListParagraph"/>
        <w:numPr>
          <w:ilvl w:val="1"/>
          <w:numId w:val="5"/>
        </w:numPr>
      </w:pPr>
      <w:r>
        <w:t>Whether to adopt the use of the discretion to allow employees to choose a ‘partial draw down’ of benefits</w:t>
      </w:r>
      <w:r w:rsidR="00EE1F39">
        <w:t>; and</w:t>
      </w:r>
    </w:p>
    <w:p w:rsidR="009D39A7" w:rsidRDefault="009D39A7" w:rsidP="009D39A7">
      <w:pPr>
        <w:pStyle w:val="ListParagraph"/>
        <w:numPr>
          <w:ilvl w:val="1"/>
          <w:numId w:val="5"/>
        </w:numPr>
      </w:pPr>
      <w:r>
        <w:t>To determine the most appropriate level of reduction in pay required for the consideration of flexible retirement requests.</w:t>
      </w:r>
    </w:p>
    <w:p w:rsidR="00657CEE" w:rsidRDefault="00657CEE" w:rsidP="00657CEE">
      <w:pPr>
        <w:pStyle w:val="ListParagraph"/>
      </w:pPr>
    </w:p>
    <w:p w:rsidR="004335A8" w:rsidRDefault="004335A8" w:rsidP="004335A8">
      <w:pPr>
        <w:rPr>
          <w:b/>
        </w:rPr>
      </w:pPr>
      <w:r w:rsidRPr="00300B30">
        <w:rPr>
          <w:b/>
        </w:rPr>
        <w:t>Specific Discretions for Review</w:t>
      </w:r>
      <w:r w:rsidR="009D39A7">
        <w:rPr>
          <w:b/>
        </w:rPr>
        <w:t>:</w:t>
      </w:r>
    </w:p>
    <w:p w:rsidR="004335A8" w:rsidRDefault="004335A8" w:rsidP="004335A8">
      <w:pPr>
        <w:rPr>
          <w:b/>
        </w:rPr>
      </w:pPr>
    </w:p>
    <w:p w:rsidR="004335A8" w:rsidRDefault="004335A8" w:rsidP="004335A8">
      <w:pPr>
        <w:tabs>
          <w:tab w:val="left" w:pos="284"/>
        </w:tabs>
        <w:rPr>
          <w:b/>
        </w:rPr>
      </w:pPr>
      <w:r>
        <w:rPr>
          <w:b/>
        </w:rPr>
        <w:t>Partial Drawdown of Benefits</w:t>
      </w:r>
    </w:p>
    <w:p w:rsidR="004335A8" w:rsidRDefault="004335A8" w:rsidP="004335A8">
      <w:pPr>
        <w:tabs>
          <w:tab w:val="left" w:pos="284"/>
        </w:tabs>
        <w:rPr>
          <w:b/>
        </w:rPr>
      </w:pPr>
    </w:p>
    <w:p w:rsidR="009D39A7" w:rsidRDefault="00E85A59" w:rsidP="009D39A7">
      <w:pPr>
        <w:pStyle w:val="ListParagraph"/>
        <w:numPr>
          <w:ilvl w:val="0"/>
          <w:numId w:val="5"/>
        </w:numPr>
      </w:pPr>
      <w:r>
        <w:t xml:space="preserve">In flexible retirement situations the </w:t>
      </w:r>
      <w:r w:rsidR="00305D6F">
        <w:t>R</w:t>
      </w:r>
      <w:r>
        <w:t>egulations require an employee’s</w:t>
      </w:r>
      <w:r w:rsidR="009D39A7" w:rsidRPr="009E0198">
        <w:t xml:space="preserve"> </w:t>
      </w:r>
      <w:r w:rsidR="009D39A7" w:rsidRPr="00DA63D2">
        <w:t>full pension must be drawn on</w:t>
      </w:r>
      <w:r w:rsidR="009D39A7" w:rsidRPr="009E0198">
        <w:t xml:space="preserve"> all service prior to 1</w:t>
      </w:r>
      <w:r w:rsidR="009D39A7" w:rsidRPr="009E0198">
        <w:rPr>
          <w:vertAlign w:val="superscript"/>
        </w:rPr>
        <w:t>st</w:t>
      </w:r>
      <w:r w:rsidR="009D39A7" w:rsidRPr="009E0198">
        <w:t xml:space="preserve"> April 2008. Pension </w:t>
      </w:r>
      <w:r>
        <w:t>post</w:t>
      </w:r>
      <w:r w:rsidR="009D39A7" w:rsidRPr="009E0198">
        <w:t xml:space="preserve"> 1</w:t>
      </w:r>
      <w:r w:rsidR="009D39A7" w:rsidRPr="009E0198">
        <w:rPr>
          <w:vertAlign w:val="superscript"/>
        </w:rPr>
        <w:t>st</w:t>
      </w:r>
      <w:r w:rsidR="009D39A7" w:rsidRPr="009E0198">
        <w:t xml:space="preserve"> April 2008 can </w:t>
      </w:r>
      <w:r w:rsidR="009174E6">
        <w:t xml:space="preserve">either </w:t>
      </w:r>
      <w:r w:rsidR="009D39A7" w:rsidRPr="009E0198">
        <w:t xml:space="preserve">be fully, partially or not drawn at all. </w:t>
      </w:r>
      <w:r w:rsidR="009D39A7">
        <w:t>The Council’s current policy requires that the entire pension is drawn down</w:t>
      </w:r>
      <w:r w:rsidR="009174E6">
        <w:t>,</w:t>
      </w:r>
      <w:r w:rsidR="009D39A7">
        <w:t xml:space="preserve"> i.e. no choice for employees.</w:t>
      </w:r>
      <w:r w:rsidR="009D39A7" w:rsidRPr="009E0198">
        <w:t xml:space="preserve"> </w:t>
      </w:r>
    </w:p>
    <w:p w:rsidR="009D39A7" w:rsidRDefault="009D39A7" w:rsidP="009D39A7"/>
    <w:p w:rsidR="004335A8" w:rsidRDefault="004335A8" w:rsidP="009D39A7">
      <w:pPr>
        <w:pStyle w:val="ListParagraph"/>
        <w:numPr>
          <w:ilvl w:val="0"/>
          <w:numId w:val="5"/>
        </w:numPr>
      </w:pPr>
      <w:r>
        <w:t xml:space="preserve">The decision not to allow </w:t>
      </w:r>
      <w:r w:rsidR="00625B9A">
        <w:t>‘</w:t>
      </w:r>
      <w:r>
        <w:t>partial draw down</w:t>
      </w:r>
      <w:r w:rsidR="00625B9A">
        <w:t>’</w:t>
      </w:r>
      <w:r>
        <w:t xml:space="preserve"> was made when the discretion was first introduced </w:t>
      </w:r>
      <w:r w:rsidR="00715173">
        <w:t>without fully appreciating the potential impact</w:t>
      </w:r>
      <w:r>
        <w:t xml:space="preserve">. </w:t>
      </w:r>
    </w:p>
    <w:p w:rsidR="004335A8" w:rsidRPr="009E0198" w:rsidRDefault="004335A8" w:rsidP="004335A8">
      <w:pPr>
        <w:pStyle w:val="ListParagraph"/>
      </w:pPr>
    </w:p>
    <w:p w:rsidR="004335A8" w:rsidRDefault="00E5438E" w:rsidP="009D39A7">
      <w:pPr>
        <w:pStyle w:val="ListParagraph"/>
        <w:numPr>
          <w:ilvl w:val="0"/>
          <w:numId w:val="5"/>
        </w:numPr>
      </w:pPr>
      <w:r>
        <w:t xml:space="preserve">If </w:t>
      </w:r>
      <w:r w:rsidR="00B66645">
        <w:t xml:space="preserve">a </w:t>
      </w:r>
      <w:r>
        <w:t>scheme member draw</w:t>
      </w:r>
      <w:r w:rsidR="00B66645">
        <w:t>s</w:t>
      </w:r>
      <w:r w:rsidR="005A7EA1">
        <w:t xml:space="preserve"> pension early </w:t>
      </w:r>
      <w:r w:rsidR="00B66645">
        <w:t xml:space="preserve">its value is </w:t>
      </w:r>
      <w:r w:rsidR="005A7EA1">
        <w:t>reduced</w:t>
      </w:r>
      <w:r w:rsidR="00615778">
        <w:t>,</w:t>
      </w:r>
      <w:r w:rsidR="005A7EA1">
        <w:t xml:space="preserve"> unless they are a scheme member with full or partial protection from reduction under the 2008 </w:t>
      </w:r>
      <w:r w:rsidR="00305D6F">
        <w:t>R</w:t>
      </w:r>
      <w:r w:rsidR="005A7EA1">
        <w:t>egulations. Benefits before 31</w:t>
      </w:r>
      <w:r w:rsidR="005A7EA1" w:rsidRPr="00EB0E4C">
        <w:rPr>
          <w:vertAlign w:val="superscript"/>
        </w:rPr>
        <w:t>st</w:t>
      </w:r>
      <w:r w:rsidR="005A7EA1">
        <w:t xml:space="preserve"> March 2008 must be fully drawn and are likely to have the greatest level of protection.</w:t>
      </w:r>
      <w:r w:rsidR="004335A8">
        <w:t xml:space="preserve"> </w:t>
      </w:r>
      <w:r w:rsidR="00615778">
        <w:t>P</w:t>
      </w:r>
      <w:r w:rsidR="004335A8">
        <w:t xml:space="preserve">ension </w:t>
      </w:r>
      <w:r w:rsidR="00A87A76">
        <w:t xml:space="preserve">rights accrued </w:t>
      </w:r>
      <w:r w:rsidR="004335A8">
        <w:t xml:space="preserve">from April 2008 </w:t>
      </w:r>
      <w:r w:rsidR="00A87A76">
        <w:t>are</w:t>
      </w:r>
      <w:r w:rsidR="00615778">
        <w:t xml:space="preserve"> likely to be more</w:t>
      </w:r>
      <w:r w:rsidR="00095A78">
        <w:t xml:space="preserve"> significantly reduced</w:t>
      </w:r>
      <w:r w:rsidR="00615778">
        <w:t xml:space="preserve"> and scheme members have the choice about how much of this they wish to draw (with employer consent).</w:t>
      </w:r>
      <w:r w:rsidR="004335A8">
        <w:t xml:space="preserve"> </w:t>
      </w:r>
      <w:r w:rsidR="00615778">
        <w:t>F</w:t>
      </w:r>
      <w:r w:rsidR="004335A8">
        <w:t>lexible</w:t>
      </w:r>
      <w:r w:rsidR="009D39A7">
        <w:t xml:space="preserve"> </w:t>
      </w:r>
      <w:r w:rsidR="004335A8">
        <w:t>retirement may</w:t>
      </w:r>
      <w:r w:rsidR="00625B9A">
        <w:t xml:space="preserve"> therefore </w:t>
      </w:r>
      <w:r w:rsidR="004335A8">
        <w:t xml:space="preserve">be a more attractive option to employees if </w:t>
      </w:r>
      <w:r w:rsidR="004335A8">
        <w:lastRenderedPageBreak/>
        <w:t>they can mitigate some of the actuarial reduction by not drawing the</w:t>
      </w:r>
      <w:r w:rsidR="00625B9A">
        <w:t>ir</w:t>
      </w:r>
      <w:r w:rsidR="004335A8">
        <w:t xml:space="preserve"> entire pension</w:t>
      </w:r>
      <w:r w:rsidR="00625B9A">
        <w:t xml:space="preserve"> early</w:t>
      </w:r>
      <w:r w:rsidR="004335A8">
        <w:t xml:space="preserve">.  </w:t>
      </w:r>
    </w:p>
    <w:p w:rsidR="004335A8" w:rsidRDefault="004335A8" w:rsidP="004335A8">
      <w:pPr>
        <w:pStyle w:val="ListParagraph"/>
      </w:pPr>
    </w:p>
    <w:p w:rsidR="004335A8" w:rsidRDefault="00625B9A" w:rsidP="009D39A7">
      <w:pPr>
        <w:pStyle w:val="ListParagraph"/>
        <w:numPr>
          <w:ilvl w:val="0"/>
          <w:numId w:val="5"/>
        </w:numPr>
      </w:pPr>
      <w:r>
        <w:t>Hence a</w:t>
      </w:r>
      <w:r w:rsidR="004335A8">
        <w:t xml:space="preserve">llowing ‘partial draw down’ could result in an increase </w:t>
      </w:r>
      <w:r w:rsidR="00305D6F">
        <w:t xml:space="preserve">in </w:t>
      </w:r>
      <w:r w:rsidR="004335A8">
        <w:t xml:space="preserve">the number of requests which </w:t>
      </w:r>
      <w:r w:rsidR="00095A78">
        <w:t xml:space="preserve">may be beneficial </w:t>
      </w:r>
      <w:r w:rsidR="00305D6F">
        <w:t xml:space="preserve">to both the employee and </w:t>
      </w:r>
      <w:r w:rsidR="00095A78">
        <w:t>the Council</w:t>
      </w:r>
      <w:r w:rsidR="004335A8">
        <w:t>.</w:t>
      </w:r>
    </w:p>
    <w:p w:rsidR="004335A8" w:rsidRDefault="004335A8" w:rsidP="004335A8">
      <w:pPr>
        <w:pStyle w:val="ListParagraph"/>
      </w:pPr>
    </w:p>
    <w:p w:rsidR="004335A8" w:rsidRDefault="004335A8" w:rsidP="004335A8">
      <w:pPr>
        <w:tabs>
          <w:tab w:val="left" w:pos="284"/>
        </w:tabs>
        <w:rPr>
          <w:b/>
        </w:rPr>
      </w:pPr>
      <w:r w:rsidRPr="00AB17A9">
        <w:rPr>
          <w:b/>
        </w:rPr>
        <w:t>Amount of Reduction in Pay Required</w:t>
      </w:r>
      <w:r>
        <w:rPr>
          <w:b/>
        </w:rPr>
        <w:t xml:space="preserve"> for Flexible Retirement</w:t>
      </w:r>
    </w:p>
    <w:p w:rsidR="004335A8" w:rsidRPr="00AB17A9" w:rsidRDefault="004335A8" w:rsidP="004335A8">
      <w:pPr>
        <w:tabs>
          <w:tab w:val="left" w:pos="284"/>
        </w:tabs>
        <w:rPr>
          <w:b/>
        </w:rPr>
      </w:pPr>
    </w:p>
    <w:p w:rsidR="004335A8" w:rsidRDefault="004335A8" w:rsidP="009D39A7">
      <w:pPr>
        <w:pStyle w:val="ListParagraph"/>
        <w:numPr>
          <w:ilvl w:val="0"/>
          <w:numId w:val="5"/>
        </w:numPr>
      </w:pPr>
      <w:r>
        <w:t>The Regulations require a pay reduction but the amount is entirely discretionary</w:t>
      </w:r>
      <w:r w:rsidR="00D7191D">
        <w:t>,</w:t>
      </w:r>
      <w:r>
        <w:t xml:space="preserve"> and it can be achieved by a reduction in hours or grade. The Council’s policy currently requires a reduction of at least 40%.</w:t>
      </w:r>
    </w:p>
    <w:p w:rsidR="009D39A7" w:rsidRDefault="009D39A7" w:rsidP="009D39A7">
      <w:pPr>
        <w:pStyle w:val="ListParagraph"/>
      </w:pPr>
    </w:p>
    <w:p w:rsidR="004335A8" w:rsidRDefault="004335A8" w:rsidP="009D39A7">
      <w:pPr>
        <w:pStyle w:val="ListParagraph"/>
        <w:numPr>
          <w:ilvl w:val="0"/>
          <w:numId w:val="5"/>
        </w:numPr>
      </w:pPr>
      <w:r w:rsidRPr="009E0198">
        <w:t>Determining the most appropriate policy in relation the level of reduction and how requests are assessed and determined is pivotal to the effectiveness of this policy.  If set it too high employees won’t be interested. If set too low the potential financial advantage to employees may attract too much interest and the Council is likely to hav</w:t>
      </w:r>
      <w:r w:rsidR="00D7191D">
        <w:t>e</w:t>
      </w:r>
      <w:r w:rsidRPr="009E0198">
        <w:t xml:space="preserve"> to refuse many requests. </w:t>
      </w:r>
    </w:p>
    <w:p w:rsidR="004335A8" w:rsidRDefault="004335A8" w:rsidP="004335A8">
      <w:pPr>
        <w:pStyle w:val="ListParagraph"/>
      </w:pPr>
    </w:p>
    <w:p w:rsidR="004335A8" w:rsidRDefault="004335A8" w:rsidP="009D39A7">
      <w:pPr>
        <w:pStyle w:val="ListParagraph"/>
        <w:numPr>
          <w:ilvl w:val="0"/>
          <w:numId w:val="5"/>
        </w:numPr>
      </w:pPr>
      <w:r>
        <w:t>Research shows some organisations have chosen one of the following options in relation to their flexible retirement policy reduction level</w:t>
      </w:r>
      <w:r w:rsidRPr="009E0198">
        <w:t>:</w:t>
      </w:r>
    </w:p>
    <w:p w:rsidR="004335A8" w:rsidRPr="009E0198" w:rsidRDefault="004335A8" w:rsidP="004335A8">
      <w:pPr>
        <w:pStyle w:val="ListParagraph"/>
        <w:numPr>
          <w:ilvl w:val="1"/>
          <w:numId w:val="18"/>
        </w:numPr>
        <w:ind w:left="1134" w:hanging="425"/>
      </w:pPr>
      <w:r w:rsidRPr="009E0198">
        <w:t>Retain or reset a defined minimum reduction level</w:t>
      </w:r>
      <w:r>
        <w:t xml:space="preserve"> (e.g. 20%, 40%)</w:t>
      </w:r>
    </w:p>
    <w:p w:rsidR="004335A8" w:rsidRDefault="004335A8" w:rsidP="004335A8">
      <w:pPr>
        <w:pStyle w:val="ListParagraph"/>
        <w:numPr>
          <w:ilvl w:val="1"/>
          <w:numId w:val="18"/>
        </w:numPr>
        <w:ind w:left="1134" w:hanging="425"/>
      </w:pPr>
      <w:r w:rsidRPr="009E0198">
        <w:t>Not to set a minimum reduction level and determine each case on its merits</w:t>
      </w:r>
    </w:p>
    <w:p w:rsidR="004335A8" w:rsidRDefault="004335A8" w:rsidP="004335A8">
      <w:pPr>
        <w:pStyle w:val="ListParagraph"/>
      </w:pPr>
    </w:p>
    <w:p w:rsidR="004335A8" w:rsidRDefault="004335A8" w:rsidP="009D39A7">
      <w:pPr>
        <w:pStyle w:val="ListParagraph"/>
        <w:numPr>
          <w:ilvl w:val="0"/>
          <w:numId w:val="5"/>
        </w:numPr>
      </w:pPr>
      <w:r>
        <w:t>Lowering the current limit would give more flexibility to both the Council and employees who wish to apply for flexible retirement. A prescribed limit would provide some certainty but the current one is too high so it is proposed that the minimum level of reduction required for the consideration of requests is reduced to 20%.</w:t>
      </w:r>
    </w:p>
    <w:p w:rsidR="00095A78" w:rsidRDefault="00095A78" w:rsidP="00E016A6">
      <w:pPr>
        <w:rPr>
          <w:b/>
        </w:rPr>
      </w:pPr>
    </w:p>
    <w:p w:rsidR="002E49E9" w:rsidRDefault="00F418DC" w:rsidP="00E016A6">
      <w:pPr>
        <w:rPr>
          <w:b/>
        </w:rPr>
      </w:pPr>
      <w:r w:rsidRPr="00F418DC">
        <w:rPr>
          <w:b/>
        </w:rPr>
        <w:t>Criter</w:t>
      </w:r>
      <w:r w:rsidR="00E016A6">
        <w:rPr>
          <w:b/>
        </w:rPr>
        <w:t>ia for Considering</w:t>
      </w:r>
      <w:r>
        <w:rPr>
          <w:b/>
        </w:rPr>
        <w:t xml:space="preserve"> Request</w:t>
      </w:r>
      <w:r w:rsidR="005F4EC2">
        <w:rPr>
          <w:b/>
        </w:rPr>
        <w:t>s</w:t>
      </w:r>
    </w:p>
    <w:p w:rsidR="00F418DC" w:rsidRPr="00F418DC" w:rsidRDefault="00F418DC" w:rsidP="002E49E9">
      <w:pPr>
        <w:ind w:left="360"/>
        <w:rPr>
          <w:b/>
        </w:rPr>
      </w:pPr>
    </w:p>
    <w:p w:rsidR="00E016A6" w:rsidRDefault="00F418DC" w:rsidP="00E016A6">
      <w:pPr>
        <w:pStyle w:val="ListParagraph"/>
        <w:numPr>
          <w:ilvl w:val="0"/>
          <w:numId w:val="5"/>
        </w:numPr>
        <w:rPr>
          <w:color w:val="000000" w:themeColor="text1"/>
        </w:rPr>
      </w:pPr>
      <w:r w:rsidRPr="00844442">
        <w:rPr>
          <w:color w:val="000000" w:themeColor="text1"/>
        </w:rPr>
        <w:t>E</w:t>
      </w:r>
      <w:r w:rsidR="00095A78" w:rsidRPr="00844442">
        <w:rPr>
          <w:color w:val="000000" w:themeColor="text1"/>
        </w:rPr>
        <w:t xml:space="preserve">mployees can make a </w:t>
      </w:r>
      <w:r w:rsidR="00E016A6" w:rsidRPr="00844442">
        <w:rPr>
          <w:color w:val="000000" w:themeColor="text1"/>
        </w:rPr>
        <w:t xml:space="preserve">flexible retirement </w:t>
      </w:r>
      <w:r w:rsidR="00095A78" w:rsidRPr="00844442">
        <w:rPr>
          <w:color w:val="000000" w:themeColor="text1"/>
        </w:rPr>
        <w:t>request to their manager for their consideration</w:t>
      </w:r>
      <w:r w:rsidR="00E016A6" w:rsidRPr="00844442">
        <w:rPr>
          <w:color w:val="000000" w:themeColor="text1"/>
        </w:rPr>
        <w:t>. E</w:t>
      </w:r>
      <w:r w:rsidRPr="00844442">
        <w:rPr>
          <w:color w:val="000000" w:themeColor="text1"/>
        </w:rPr>
        <w:t xml:space="preserve">ach request </w:t>
      </w:r>
      <w:r w:rsidR="004A5DC5" w:rsidRPr="00844442">
        <w:rPr>
          <w:color w:val="000000" w:themeColor="text1"/>
        </w:rPr>
        <w:t>is</w:t>
      </w:r>
      <w:r w:rsidRPr="00844442">
        <w:rPr>
          <w:color w:val="000000" w:themeColor="text1"/>
        </w:rPr>
        <w:t xml:space="preserve"> considered on its merits and will only be approved </w:t>
      </w:r>
      <w:r w:rsidR="004A5DC5" w:rsidRPr="00844442">
        <w:rPr>
          <w:color w:val="000000" w:themeColor="text1"/>
        </w:rPr>
        <w:t>if</w:t>
      </w:r>
      <w:r w:rsidRPr="00844442">
        <w:rPr>
          <w:color w:val="000000" w:themeColor="text1"/>
        </w:rPr>
        <w:t xml:space="preserve"> it is in the Council’s interests.</w:t>
      </w:r>
    </w:p>
    <w:p w:rsidR="00844442" w:rsidRPr="00844442" w:rsidRDefault="00844442" w:rsidP="00844442">
      <w:pPr>
        <w:pStyle w:val="ListParagraph"/>
        <w:rPr>
          <w:color w:val="000000" w:themeColor="text1"/>
        </w:rPr>
      </w:pPr>
    </w:p>
    <w:p w:rsidR="00E016A6" w:rsidRPr="00844442" w:rsidRDefault="00F418DC" w:rsidP="00844442">
      <w:pPr>
        <w:pStyle w:val="ListParagraph"/>
        <w:numPr>
          <w:ilvl w:val="0"/>
          <w:numId w:val="5"/>
        </w:numPr>
      </w:pPr>
      <w:r w:rsidRPr="00C66C61">
        <w:rPr>
          <w:color w:val="000000" w:themeColor="text1"/>
        </w:rPr>
        <w:t xml:space="preserve">Requests </w:t>
      </w:r>
      <w:r w:rsidR="007C7C19">
        <w:rPr>
          <w:color w:val="000000" w:themeColor="text1"/>
        </w:rPr>
        <w:t>will</w:t>
      </w:r>
      <w:r w:rsidRPr="00430813">
        <w:rPr>
          <w:color w:val="000000" w:themeColor="text1"/>
        </w:rPr>
        <w:t xml:space="preserve"> be declined if there are </w:t>
      </w:r>
      <w:r w:rsidR="00EA578E" w:rsidRPr="00430813">
        <w:rPr>
          <w:color w:val="000000" w:themeColor="text1"/>
        </w:rPr>
        <w:t xml:space="preserve">compelling </w:t>
      </w:r>
      <w:r w:rsidRPr="00430813">
        <w:rPr>
          <w:color w:val="000000" w:themeColor="text1"/>
        </w:rPr>
        <w:t>business reasons</w:t>
      </w:r>
      <w:r w:rsidR="00EA578E" w:rsidRPr="00430813">
        <w:rPr>
          <w:color w:val="000000" w:themeColor="text1"/>
        </w:rPr>
        <w:t xml:space="preserve">.  These could </w:t>
      </w:r>
      <w:r w:rsidRPr="00C66C61">
        <w:rPr>
          <w:color w:val="000000" w:themeColor="text1"/>
        </w:rPr>
        <w:t xml:space="preserve"> </w:t>
      </w:r>
      <w:r w:rsidR="00894C79" w:rsidRPr="00C66C61">
        <w:rPr>
          <w:color w:val="000000" w:themeColor="text1"/>
        </w:rPr>
        <w:t xml:space="preserve">include the </w:t>
      </w:r>
      <w:r w:rsidR="00FF2E93" w:rsidRPr="00C66C61">
        <w:rPr>
          <w:color w:val="000000" w:themeColor="text1"/>
        </w:rPr>
        <w:t xml:space="preserve">practicality of </w:t>
      </w:r>
      <w:r w:rsidR="00894C79" w:rsidRPr="00C66C61">
        <w:rPr>
          <w:color w:val="000000" w:themeColor="text1"/>
        </w:rPr>
        <w:t>re-organis</w:t>
      </w:r>
      <w:r w:rsidR="00FF2E93" w:rsidRPr="00C66C61">
        <w:rPr>
          <w:color w:val="000000" w:themeColor="text1"/>
        </w:rPr>
        <w:t>ing</w:t>
      </w:r>
      <w:r w:rsidR="00894C79" w:rsidRPr="00C66C61">
        <w:rPr>
          <w:color w:val="000000" w:themeColor="text1"/>
        </w:rPr>
        <w:t xml:space="preserve"> work or recruit</w:t>
      </w:r>
      <w:r w:rsidR="00FF2E93" w:rsidRPr="00C66C61">
        <w:rPr>
          <w:color w:val="000000" w:themeColor="text1"/>
        </w:rPr>
        <w:t>ing</w:t>
      </w:r>
      <w:r w:rsidR="00894C79" w:rsidRPr="00C66C61">
        <w:rPr>
          <w:color w:val="000000" w:themeColor="text1"/>
        </w:rPr>
        <w:t xml:space="preserve"> additional staff</w:t>
      </w:r>
      <w:r w:rsidR="00FF2E93" w:rsidRPr="00C66C61">
        <w:rPr>
          <w:color w:val="000000" w:themeColor="text1"/>
        </w:rPr>
        <w:t xml:space="preserve"> to meet the reduced hours</w:t>
      </w:r>
      <w:r w:rsidR="00894C79" w:rsidRPr="00C66C61">
        <w:rPr>
          <w:color w:val="000000" w:themeColor="text1"/>
        </w:rPr>
        <w:t xml:space="preserve">, </w:t>
      </w:r>
      <w:r w:rsidR="00C66C61" w:rsidRPr="00C66C61">
        <w:rPr>
          <w:color w:val="000000" w:themeColor="text1"/>
        </w:rPr>
        <w:t xml:space="preserve">the </w:t>
      </w:r>
      <w:r w:rsidR="00894C79" w:rsidRPr="00C66C61">
        <w:rPr>
          <w:color w:val="000000" w:themeColor="text1"/>
        </w:rPr>
        <w:t xml:space="preserve">detrimental impact on </w:t>
      </w:r>
      <w:r w:rsidR="00C66C61" w:rsidRPr="00C66C61">
        <w:rPr>
          <w:color w:val="000000" w:themeColor="text1"/>
        </w:rPr>
        <w:t xml:space="preserve">customers, </w:t>
      </w:r>
      <w:r w:rsidR="00894C79" w:rsidRPr="00C66C61">
        <w:rPr>
          <w:color w:val="000000" w:themeColor="text1"/>
        </w:rPr>
        <w:t xml:space="preserve">quality or performance, insufficiency of work during </w:t>
      </w:r>
      <w:r w:rsidR="00C66C61" w:rsidRPr="00C66C61">
        <w:rPr>
          <w:color w:val="000000" w:themeColor="text1"/>
        </w:rPr>
        <w:t xml:space="preserve">the </w:t>
      </w:r>
      <w:r w:rsidR="00894C79" w:rsidRPr="00C66C61">
        <w:rPr>
          <w:color w:val="000000" w:themeColor="text1"/>
        </w:rPr>
        <w:t>proposed working times o</w:t>
      </w:r>
      <w:r w:rsidR="00894C79" w:rsidRPr="00430813">
        <w:rPr>
          <w:color w:val="000000" w:themeColor="text1"/>
        </w:rPr>
        <w:t xml:space="preserve">r </w:t>
      </w:r>
      <w:r w:rsidR="00430813">
        <w:rPr>
          <w:color w:val="000000" w:themeColor="text1"/>
        </w:rPr>
        <w:t>burden of additional costs</w:t>
      </w:r>
      <w:r w:rsidR="00894C79" w:rsidRPr="00430813">
        <w:rPr>
          <w:color w:val="000000" w:themeColor="text1"/>
        </w:rPr>
        <w:t>.</w:t>
      </w:r>
      <w:r w:rsidR="00EA578E" w:rsidRPr="00430813">
        <w:rPr>
          <w:color w:val="000000" w:themeColor="text1"/>
        </w:rPr>
        <w:t xml:space="preserve"> </w:t>
      </w:r>
    </w:p>
    <w:p w:rsidR="00844442" w:rsidRDefault="00844442" w:rsidP="00844442"/>
    <w:p w:rsidR="00525D84" w:rsidRPr="00844442" w:rsidRDefault="00E016A6" w:rsidP="00E016A6">
      <w:pPr>
        <w:pStyle w:val="ListParagraph"/>
        <w:numPr>
          <w:ilvl w:val="0"/>
          <w:numId w:val="5"/>
        </w:numPr>
        <w:rPr>
          <w:color w:val="000000" w:themeColor="text1"/>
        </w:rPr>
      </w:pPr>
      <w:r w:rsidRPr="00E016A6">
        <w:t>Given the potential costs</w:t>
      </w:r>
      <w:r w:rsidR="00095A78">
        <w:t xml:space="preserve"> (see Financial Issues</w:t>
      </w:r>
      <w:r w:rsidR="00545BFA">
        <w:t xml:space="preserve"> section below</w:t>
      </w:r>
      <w:r w:rsidR="00095A78">
        <w:t xml:space="preserve">) </w:t>
      </w:r>
      <w:r w:rsidRPr="00E016A6">
        <w:t>a</w:t>
      </w:r>
      <w:r w:rsidR="00C65BBA" w:rsidRPr="00E016A6">
        <w:t>ll r</w:t>
      </w:r>
      <w:r w:rsidR="00F418DC" w:rsidRPr="00E016A6">
        <w:t xml:space="preserve">equests </w:t>
      </w:r>
      <w:r w:rsidR="00545BFA">
        <w:t>are</w:t>
      </w:r>
      <w:r w:rsidR="00F418DC" w:rsidRPr="00E016A6">
        <w:t xml:space="preserve"> subject to approval </w:t>
      </w:r>
      <w:r w:rsidRPr="00E016A6">
        <w:t xml:space="preserve">by the relevant Service Head, </w:t>
      </w:r>
      <w:r w:rsidR="00EB0E4C">
        <w:t xml:space="preserve">Corporate Lead – HR / OD, </w:t>
      </w:r>
      <w:r w:rsidR="00F418DC" w:rsidRPr="00E016A6">
        <w:t xml:space="preserve">Section 151 and Monitoring Officer </w:t>
      </w:r>
    </w:p>
    <w:p w:rsidR="00844442" w:rsidRPr="00844442" w:rsidRDefault="00844442" w:rsidP="00844442">
      <w:pPr>
        <w:pStyle w:val="ListParagraph"/>
        <w:rPr>
          <w:color w:val="000000" w:themeColor="text1"/>
        </w:rPr>
      </w:pPr>
    </w:p>
    <w:p w:rsidR="00844442" w:rsidRPr="00E016A6" w:rsidRDefault="00844442" w:rsidP="00E016A6">
      <w:pPr>
        <w:pStyle w:val="ListParagraph"/>
        <w:numPr>
          <w:ilvl w:val="0"/>
          <w:numId w:val="5"/>
        </w:numPr>
        <w:rPr>
          <w:color w:val="000000" w:themeColor="text1"/>
        </w:rPr>
      </w:pPr>
      <w:r>
        <w:rPr>
          <w:color w:val="000000" w:themeColor="text1"/>
        </w:rPr>
        <w:t>The employee will receive written confirmation of the decision and in the event of rejection the basis for that.</w:t>
      </w:r>
    </w:p>
    <w:p w:rsidR="00452DE3" w:rsidRDefault="00452DE3" w:rsidP="00452DE3"/>
    <w:p w:rsidR="00844442" w:rsidRDefault="00844442" w:rsidP="00EE6C01">
      <w:pPr>
        <w:rPr>
          <w:b/>
        </w:rPr>
      </w:pPr>
    </w:p>
    <w:p w:rsidR="00844442" w:rsidRDefault="00844442" w:rsidP="00EE6C01">
      <w:pPr>
        <w:rPr>
          <w:b/>
        </w:rPr>
      </w:pPr>
    </w:p>
    <w:p w:rsidR="00EE6C01" w:rsidRDefault="00EE6C01" w:rsidP="00EE6C01">
      <w:pPr>
        <w:rPr>
          <w:b/>
        </w:rPr>
      </w:pPr>
      <w:r w:rsidRPr="00EE6C01">
        <w:rPr>
          <w:b/>
        </w:rPr>
        <w:t>Consultation with Trade Unions</w:t>
      </w:r>
    </w:p>
    <w:p w:rsidR="00EE6C01" w:rsidRDefault="00EE6C01" w:rsidP="00EE6C01">
      <w:pPr>
        <w:rPr>
          <w:b/>
        </w:rPr>
      </w:pPr>
    </w:p>
    <w:p w:rsidR="00EE6C01" w:rsidRPr="00017896" w:rsidRDefault="00844442" w:rsidP="009D39A7">
      <w:pPr>
        <w:pStyle w:val="ListParagraph"/>
        <w:numPr>
          <w:ilvl w:val="0"/>
          <w:numId w:val="5"/>
        </w:numPr>
      </w:pPr>
      <w:r>
        <w:t>The</w:t>
      </w:r>
      <w:r w:rsidR="00EE6C01" w:rsidRPr="00CD054D">
        <w:t xml:space="preserve"> polic</w:t>
      </w:r>
      <w:r w:rsidR="00545BFA">
        <w:t>y</w:t>
      </w:r>
      <w:r w:rsidR="00EE6C01" w:rsidRPr="00CD054D">
        <w:t xml:space="preserve"> ha</w:t>
      </w:r>
      <w:r w:rsidR="00545BFA">
        <w:t>s</w:t>
      </w:r>
      <w:r w:rsidR="00EE6C01" w:rsidRPr="00CD054D">
        <w:t xml:space="preserve"> </w:t>
      </w:r>
      <w:r>
        <w:t xml:space="preserve">previously </w:t>
      </w:r>
      <w:r w:rsidR="00EE6C01" w:rsidRPr="00CD054D">
        <w:t>been through consultation and negotiation with both trade unions</w:t>
      </w:r>
      <w:r>
        <w:t xml:space="preserve">. The two changes </w:t>
      </w:r>
      <w:r w:rsidR="000F5C9C">
        <w:t>have been agreed with the respective Branch Secretaries who will report them to their next committee</w:t>
      </w:r>
      <w:r w:rsidR="00DC1E66">
        <w:t xml:space="preserve"> meeting</w:t>
      </w:r>
      <w:r w:rsidR="000F5C9C">
        <w:t>s.</w:t>
      </w:r>
    </w:p>
    <w:p w:rsidR="00EE6C01" w:rsidRDefault="00EE6C01" w:rsidP="00EE6C01"/>
    <w:p w:rsidR="007B6E54" w:rsidRPr="00A65324" w:rsidRDefault="007B6E54">
      <w:pPr>
        <w:rPr>
          <w:rFonts w:cs="Arial"/>
          <w:b/>
        </w:rPr>
      </w:pPr>
      <w:r w:rsidRPr="00A65324">
        <w:rPr>
          <w:rFonts w:cs="Arial"/>
          <w:b/>
        </w:rPr>
        <w:t>Legal Issues</w:t>
      </w:r>
    </w:p>
    <w:p w:rsidR="00414B21" w:rsidRPr="00A65324" w:rsidRDefault="00414B21">
      <w:pPr>
        <w:rPr>
          <w:rFonts w:cs="Arial"/>
          <w:b/>
        </w:rPr>
      </w:pPr>
    </w:p>
    <w:p w:rsidR="00EB4AE3" w:rsidRPr="00A65324" w:rsidRDefault="00EB4AE3" w:rsidP="009D39A7">
      <w:pPr>
        <w:pStyle w:val="ListParagraph"/>
        <w:numPr>
          <w:ilvl w:val="0"/>
          <w:numId w:val="5"/>
        </w:numPr>
        <w:rPr>
          <w:rFonts w:cs="Arial"/>
        </w:rPr>
      </w:pPr>
      <w:r w:rsidRPr="00A65324">
        <w:rPr>
          <w:rFonts w:cs="Arial"/>
        </w:rPr>
        <w:t xml:space="preserve">The Council is required to formulate and publish its policies on the use of discretions under the Local Government Pension Scheme Regulations.  The </w:t>
      </w:r>
      <w:r w:rsidR="008063F7">
        <w:rPr>
          <w:rFonts w:cs="Arial"/>
        </w:rPr>
        <w:t>Flexible Retirement P</w:t>
      </w:r>
      <w:r w:rsidRPr="00A65324">
        <w:rPr>
          <w:rFonts w:cs="Arial"/>
        </w:rPr>
        <w:t>olicy guides the decision making process</w:t>
      </w:r>
      <w:r w:rsidR="008063F7">
        <w:rPr>
          <w:rFonts w:cs="Arial"/>
        </w:rPr>
        <w:t xml:space="preserve"> setting out </w:t>
      </w:r>
      <w:r w:rsidRPr="00A65324">
        <w:rPr>
          <w:rFonts w:cs="Arial"/>
        </w:rPr>
        <w:t>how the discretion will be used.  The Council cannot however bind itself as to how it will exercise discretion as fettering discretion is unlawful.  Each case must be decided on its merits.</w:t>
      </w:r>
    </w:p>
    <w:p w:rsidR="00EB4AE3" w:rsidRPr="00A65324" w:rsidRDefault="00EB4AE3" w:rsidP="00EB4AE3">
      <w:pPr>
        <w:pStyle w:val="ListParagraph"/>
        <w:rPr>
          <w:rFonts w:cs="Arial"/>
        </w:rPr>
      </w:pPr>
    </w:p>
    <w:p w:rsidR="00D666C1" w:rsidRPr="00A65324" w:rsidRDefault="00FC592D" w:rsidP="002B25C9">
      <w:pPr>
        <w:pStyle w:val="ListParagraph"/>
        <w:numPr>
          <w:ilvl w:val="0"/>
          <w:numId w:val="5"/>
        </w:numPr>
        <w:rPr>
          <w:rFonts w:cs="Arial"/>
        </w:rPr>
      </w:pPr>
      <w:r w:rsidRPr="00A65324">
        <w:rPr>
          <w:rFonts w:cs="Arial"/>
        </w:rPr>
        <w:t>The publication of the approved policy ensure</w:t>
      </w:r>
      <w:r w:rsidR="000C3F93" w:rsidRPr="00A65324">
        <w:rPr>
          <w:rFonts w:cs="Arial"/>
        </w:rPr>
        <w:t>s</w:t>
      </w:r>
      <w:r w:rsidRPr="00A65324">
        <w:rPr>
          <w:rFonts w:cs="Arial"/>
        </w:rPr>
        <w:t xml:space="preserve"> legal compliance</w:t>
      </w:r>
      <w:r w:rsidR="002B25C9">
        <w:rPr>
          <w:rFonts w:cs="Arial"/>
        </w:rPr>
        <w:t xml:space="preserve"> </w:t>
      </w:r>
      <w:r w:rsidR="005F4EC2" w:rsidRPr="00A65324">
        <w:rPr>
          <w:rFonts w:cs="Arial"/>
        </w:rPr>
        <w:t>and transparent approval procedures should minimise the risk of any legal issues arising.</w:t>
      </w:r>
      <w:r w:rsidR="00EB4AE3" w:rsidRPr="00A65324">
        <w:rPr>
          <w:rFonts w:cs="Arial"/>
        </w:rPr>
        <w:t xml:space="preserve"> </w:t>
      </w:r>
    </w:p>
    <w:p w:rsidR="00D666C1" w:rsidRPr="00C474D6" w:rsidRDefault="00D666C1" w:rsidP="00D666C1">
      <w:pPr>
        <w:pStyle w:val="ListParagraph"/>
        <w:rPr>
          <w:rFonts w:cs="Arial"/>
        </w:rPr>
      </w:pPr>
    </w:p>
    <w:p w:rsidR="005F4EC2" w:rsidRPr="00A65324" w:rsidRDefault="007B6E54">
      <w:pPr>
        <w:rPr>
          <w:rFonts w:cs="Arial"/>
          <w:b/>
        </w:rPr>
      </w:pPr>
      <w:r w:rsidRPr="00A65324">
        <w:rPr>
          <w:rFonts w:cs="Arial"/>
          <w:b/>
        </w:rPr>
        <w:t>Financial Issues</w:t>
      </w:r>
    </w:p>
    <w:p w:rsidR="00414B21" w:rsidRPr="00A65324" w:rsidRDefault="00414B21">
      <w:pPr>
        <w:rPr>
          <w:rFonts w:cs="Arial"/>
          <w:b/>
        </w:rPr>
      </w:pPr>
    </w:p>
    <w:p w:rsidR="009D39A7" w:rsidRPr="009D39A7" w:rsidRDefault="00D666C1" w:rsidP="009D39A7">
      <w:pPr>
        <w:pStyle w:val="ListParagraph"/>
        <w:numPr>
          <w:ilvl w:val="0"/>
          <w:numId w:val="5"/>
        </w:numPr>
        <w:rPr>
          <w:rFonts w:cs="Arial"/>
          <w:b/>
        </w:rPr>
      </w:pPr>
      <w:r w:rsidRPr="00A65324">
        <w:rPr>
          <w:rFonts w:cs="Arial"/>
        </w:rPr>
        <w:t>The applica</w:t>
      </w:r>
      <w:r w:rsidR="004335A8">
        <w:rPr>
          <w:rFonts w:cs="Arial"/>
        </w:rPr>
        <w:t xml:space="preserve">tion of this policy will incur </w:t>
      </w:r>
      <w:r w:rsidRPr="004335A8">
        <w:rPr>
          <w:rFonts w:cs="Arial"/>
        </w:rPr>
        <w:t>costs to the Council</w:t>
      </w:r>
      <w:r w:rsidR="002416EB" w:rsidRPr="004335A8">
        <w:rPr>
          <w:rFonts w:cs="Arial"/>
        </w:rPr>
        <w:t xml:space="preserve"> </w:t>
      </w:r>
      <w:r w:rsidR="00E016A6">
        <w:rPr>
          <w:rFonts w:cs="Arial"/>
        </w:rPr>
        <w:t xml:space="preserve">in those case </w:t>
      </w:r>
      <w:r w:rsidR="004335A8">
        <w:rPr>
          <w:rFonts w:cs="Arial"/>
        </w:rPr>
        <w:t xml:space="preserve">where a flexible retirement is granted for scheme members who have ’85 Year Rule Protection’ </w:t>
      </w:r>
      <w:r w:rsidR="00E016A6">
        <w:rPr>
          <w:rStyle w:val="FootnoteReference"/>
          <w:rFonts w:cs="Arial"/>
        </w:rPr>
        <w:footnoteReference w:id="1"/>
      </w:r>
      <w:r w:rsidR="00E016A6">
        <w:rPr>
          <w:rFonts w:cs="Arial"/>
        </w:rPr>
        <w:t xml:space="preserve"> </w:t>
      </w:r>
      <w:r w:rsidR="004335A8">
        <w:rPr>
          <w:rFonts w:cs="Arial"/>
        </w:rPr>
        <w:t xml:space="preserve">and are aged under 60. These costs </w:t>
      </w:r>
      <w:r w:rsidR="00810663">
        <w:rPr>
          <w:rFonts w:cs="Arial"/>
        </w:rPr>
        <w:t xml:space="preserve">would </w:t>
      </w:r>
      <w:r w:rsidR="004335A8">
        <w:rPr>
          <w:rFonts w:cs="Arial"/>
        </w:rPr>
        <w:t xml:space="preserve">need </w:t>
      </w:r>
      <w:r w:rsidR="002416EB" w:rsidRPr="004335A8">
        <w:rPr>
          <w:rFonts w:cs="Arial"/>
        </w:rPr>
        <w:t>to</w:t>
      </w:r>
      <w:r w:rsidR="00232811" w:rsidRPr="004335A8">
        <w:rPr>
          <w:rFonts w:cs="Arial"/>
        </w:rPr>
        <w:t xml:space="preserve"> b</w:t>
      </w:r>
      <w:r w:rsidR="002416EB" w:rsidRPr="004335A8">
        <w:rPr>
          <w:rFonts w:cs="Arial"/>
        </w:rPr>
        <w:t>e met through on-going savings.</w:t>
      </w:r>
      <w:r w:rsidR="00232811" w:rsidRPr="004335A8">
        <w:rPr>
          <w:rFonts w:cs="Arial"/>
        </w:rPr>
        <w:t xml:space="preserve"> </w:t>
      </w:r>
    </w:p>
    <w:p w:rsidR="009D39A7" w:rsidRPr="009D39A7" w:rsidRDefault="00D666C1" w:rsidP="009D39A7">
      <w:pPr>
        <w:pStyle w:val="ListParagraph"/>
        <w:rPr>
          <w:rFonts w:cs="Arial"/>
          <w:b/>
        </w:rPr>
      </w:pPr>
      <w:r w:rsidRPr="004335A8">
        <w:rPr>
          <w:rFonts w:cs="Arial"/>
        </w:rPr>
        <w:t xml:space="preserve"> </w:t>
      </w:r>
    </w:p>
    <w:p w:rsidR="005F4EC2" w:rsidRPr="00844442" w:rsidRDefault="00D666C1" w:rsidP="00844442">
      <w:pPr>
        <w:pStyle w:val="ListParagraph"/>
        <w:numPr>
          <w:ilvl w:val="0"/>
          <w:numId w:val="5"/>
        </w:numPr>
        <w:rPr>
          <w:rFonts w:cs="Arial"/>
          <w:b/>
        </w:rPr>
      </w:pPr>
      <w:r w:rsidRPr="004335A8">
        <w:rPr>
          <w:rFonts w:cs="Arial"/>
        </w:rPr>
        <w:t>The ap</w:t>
      </w:r>
      <w:r w:rsidR="009D39A7">
        <w:rPr>
          <w:rFonts w:cs="Arial"/>
        </w:rPr>
        <w:t>proval process includes an</w:t>
      </w:r>
      <w:r w:rsidRPr="004335A8">
        <w:rPr>
          <w:rFonts w:cs="Arial"/>
        </w:rPr>
        <w:t xml:space="preserve"> analysis of the costs and savings involved in each case which will be </w:t>
      </w:r>
      <w:r w:rsidR="005F4EC2" w:rsidRPr="004335A8">
        <w:rPr>
          <w:rFonts w:cs="Arial"/>
        </w:rPr>
        <w:t>considered</w:t>
      </w:r>
      <w:r w:rsidRPr="004335A8">
        <w:rPr>
          <w:rFonts w:cs="Arial"/>
        </w:rPr>
        <w:t xml:space="preserve"> along with other benefits and risks</w:t>
      </w:r>
      <w:r w:rsidR="00FA315A">
        <w:rPr>
          <w:rFonts w:cs="Arial"/>
        </w:rPr>
        <w:t>.</w:t>
      </w:r>
      <w:r w:rsidRPr="004335A8">
        <w:rPr>
          <w:rFonts w:cs="Arial"/>
        </w:rPr>
        <w:t xml:space="preserve"> </w:t>
      </w:r>
      <w:r w:rsidR="00834911">
        <w:rPr>
          <w:rFonts w:cs="Arial"/>
        </w:rPr>
        <w:t>Payback periods will in all cir</w:t>
      </w:r>
      <w:r w:rsidR="00DC1E66">
        <w:rPr>
          <w:rFonts w:cs="Arial"/>
        </w:rPr>
        <w:t>cumstances be no more than four</w:t>
      </w:r>
      <w:r w:rsidR="00834911">
        <w:rPr>
          <w:rFonts w:cs="Arial"/>
        </w:rPr>
        <w:t xml:space="preserve"> years.</w:t>
      </w:r>
    </w:p>
    <w:p w:rsidR="00EB0E4C" w:rsidRPr="00EB0E4C" w:rsidRDefault="00EB0E4C" w:rsidP="00EB0E4C">
      <w:pPr>
        <w:pStyle w:val="ListParagraph"/>
        <w:rPr>
          <w:rFonts w:cs="Arial"/>
          <w:b/>
        </w:rPr>
      </w:pPr>
    </w:p>
    <w:p w:rsidR="007B6E54" w:rsidRDefault="007B6E54">
      <w:pPr>
        <w:rPr>
          <w:rFonts w:cs="Arial"/>
          <w:b/>
        </w:rPr>
      </w:pPr>
      <w:r>
        <w:rPr>
          <w:rFonts w:cs="Arial"/>
          <w:b/>
        </w:rPr>
        <w:t>Environmental Impact</w:t>
      </w:r>
    </w:p>
    <w:p w:rsidR="00414B21" w:rsidRDefault="00414B21">
      <w:pPr>
        <w:rPr>
          <w:rFonts w:cs="Arial"/>
          <w:b/>
        </w:rPr>
      </w:pPr>
    </w:p>
    <w:p w:rsidR="00B438B9" w:rsidRPr="00252B61" w:rsidRDefault="00B438B9" w:rsidP="00E016A6">
      <w:pPr>
        <w:pStyle w:val="ListParagraph"/>
        <w:numPr>
          <w:ilvl w:val="0"/>
          <w:numId w:val="5"/>
        </w:numPr>
        <w:rPr>
          <w:rFonts w:cs="Arial"/>
        </w:rPr>
      </w:pPr>
      <w:r w:rsidRPr="00252B61">
        <w:rPr>
          <w:rFonts w:cs="Arial"/>
        </w:rPr>
        <w:t>There are no environmental impacts</w:t>
      </w:r>
      <w:r w:rsidR="00252B61" w:rsidRPr="00252B61">
        <w:rPr>
          <w:rFonts w:cs="Arial"/>
        </w:rPr>
        <w:t>.</w:t>
      </w:r>
    </w:p>
    <w:p w:rsidR="00EE6C01" w:rsidRDefault="00EE6C01">
      <w:pPr>
        <w:rPr>
          <w:rFonts w:cs="Arial"/>
          <w:b/>
        </w:rPr>
      </w:pPr>
    </w:p>
    <w:p w:rsidR="00CB70A5" w:rsidRDefault="007B6E54">
      <w:pPr>
        <w:rPr>
          <w:rFonts w:cs="Arial"/>
          <w:b/>
        </w:rPr>
      </w:pPr>
      <w:r>
        <w:rPr>
          <w:rFonts w:cs="Arial"/>
          <w:b/>
        </w:rPr>
        <w:t xml:space="preserve">Level of Risk </w:t>
      </w:r>
    </w:p>
    <w:p w:rsidR="00414B21" w:rsidRDefault="00414B21">
      <w:pPr>
        <w:rPr>
          <w:rFonts w:cs="Arial"/>
          <w:b/>
        </w:rPr>
      </w:pPr>
    </w:p>
    <w:p w:rsidR="009D39A7" w:rsidRDefault="00CB70A5" w:rsidP="00E016A6">
      <w:pPr>
        <w:pStyle w:val="ListParagraph"/>
        <w:numPr>
          <w:ilvl w:val="0"/>
          <w:numId w:val="5"/>
        </w:numPr>
        <w:rPr>
          <w:rFonts w:cs="Arial"/>
        </w:rPr>
      </w:pPr>
      <w:r w:rsidRPr="00252B61">
        <w:rPr>
          <w:rFonts w:cs="Arial"/>
        </w:rPr>
        <w:t>Th</w:t>
      </w:r>
      <w:r w:rsidR="0043712F">
        <w:rPr>
          <w:rFonts w:cs="Arial"/>
        </w:rPr>
        <w:t>is</w:t>
      </w:r>
      <w:r w:rsidRPr="00252B61">
        <w:rPr>
          <w:rFonts w:cs="Arial"/>
        </w:rPr>
        <w:t xml:space="preserve"> polic</w:t>
      </w:r>
      <w:r w:rsidR="0043712F">
        <w:rPr>
          <w:rFonts w:cs="Arial"/>
        </w:rPr>
        <w:t>y</w:t>
      </w:r>
      <w:r w:rsidRPr="00252B61">
        <w:rPr>
          <w:rFonts w:cs="Arial"/>
        </w:rPr>
        <w:t xml:space="preserve"> will ensure that the Council complies with its legal requirements and the clear guidance to managers and employees will ensure consistency.  The absence of the polic</w:t>
      </w:r>
      <w:r w:rsidR="0043712F">
        <w:rPr>
          <w:rFonts w:cs="Arial"/>
        </w:rPr>
        <w:t>y</w:t>
      </w:r>
      <w:r w:rsidRPr="00252B61">
        <w:rPr>
          <w:rFonts w:cs="Arial"/>
        </w:rPr>
        <w:t xml:space="preserve"> would increase the risk </w:t>
      </w:r>
      <w:r w:rsidRPr="00252B61">
        <w:rPr>
          <w:rFonts w:cs="Arial"/>
        </w:rPr>
        <w:lastRenderedPageBreak/>
        <w:t>of legal action against the Council with associated financial and employee relations implications.</w:t>
      </w:r>
    </w:p>
    <w:p w:rsidR="00095A78" w:rsidRDefault="00095A78" w:rsidP="00095A78">
      <w:pPr>
        <w:pStyle w:val="ListParagraph"/>
        <w:rPr>
          <w:rFonts w:cs="Arial"/>
        </w:rPr>
      </w:pPr>
    </w:p>
    <w:p w:rsidR="007B6E54" w:rsidRPr="00252B61" w:rsidRDefault="00CB70A5" w:rsidP="00E016A6">
      <w:pPr>
        <w:pStyle w:val="ListParagraph"/>
        <w:numPr>
          <w:ilvl w:val="0"/>
          <w:numId w:val="5"/>
        </w:numPr>
        <w:rPr>
          <w:rFonts w:cs="Arial"/>
        </w:rPr>
      </w:pPr>
      <w:r w:rsidRPr="00252B61">
        <w:rPr>
          <w:rFonts w:cs="Arial"/>
          <w:b/>
        </w:rPr>
        <w:t xml:space="preserve"> </w:t>
      </w:r>
      <w:r w:rsidR="00DE1FEB" w:rsidRPr="00252B61">
        <w:rPr>
          <w:rFonts w:cs="Arial"/>
        </w:rPr>
        <w:t>A</w:t>
      </w:r>
      <w:r w:rsidR="007B6E54" w:rsidRPr="00252B61">
        <w:rPr>
          <w:rFonts w:cs="Arial"/>
        </w:rPr>
        <w:t xml:space="preserve"> risk register </w:t>
      </w:r>
      <w:r w:rsidR="00414B21">
        <w:rPr>
          <w:rFonts w:cs="Arial"/>
        </w:rPr>
        <w:t xml:space="preserve">is attached at Appendix </w:t>
      </w:r>
      <w:r w:rsidR="00E42DE4">
        <w:rPr>
          <w:rFonts w:cs="Arial"/>
        </w:rPr>
        <w:t>2</w:t>
      </w:r>
      <w:r w:rsidR="00414B21">
        <w:rPr>
          <w:rFonts w:cs="Arial"/>
        </w:rPr>
        <w:t>.</w:t>
      </w:r>
    </w:p>
    <w:p w:rsidR="007B6E54" w:rsidRPr="007B6E54" w:rsidRDefault="007B6E54">
      <w:pPr>
        <w:rPr>
          <w:rFonts w:cs="Arial"/>
          <w:b/>
        </w:rPr>
      </w:pPr>
    </w:p>
    <w:p w:rsidR="007B6E54" w:rsidRDefault="007B6E54">
      <w:pPr>
        <w:rPr>
          <w:rFonts w:cs="Arial"/>
          <w:b/>
        </w:rPr>
      </w:pPr>
      <w:r w:rsidRPr="007B6E54">
        <w:rPr>
          <w:rFonts w:cs="Arial"/>
          <w:b/>
        </w:rPr>
        <w:t>Equalities Impact</w:t>
      </w:r>
    </w:p>
    <w:p w:rsidR="00414B21" w:rsidRDefault="00414B21">
      <w:pPr>
        <w:rPr>
          <w:rFonts w:cs="Arial"/>
          <w:b/>
        </w:rPr>
      </w:pPr>
    </w:p>
    <w:p w:rsidR="007B6E54" w:rsidRPr="00252B61" w:rsidRDefault="00B438B9" w:rsidP="00E016A6">
      <w:pPr>
        <w:pStyle w:val="ListParagraph"/>
        <w:numPr>
          <w:ilvl w:val="0"/>
          <w:numId w:val="5"/>
        </w:numPr>
        <w:rPr>
          <w:rFonts w:cs="Arial"/>
        </w:rPr>
      </w:pPr>
      <w:r w:rsidRPr="00252B61">
        <w:rPr>
          <w:rFonts w:cs="Arial"/>
        </w:rPr>
        <w:t>An initial Equalities Impact Asse</w:t>
      </w:r>
      <w:r w:rsidR="00414B21">
        <w:rPr>
          <w:rFonts w:cs="Arial"/>
        </w:rPr>
        <w:t xml:space="preserve">ssment is attached at Appendix </w:t>
      </w:r>
      <w:r w:rsidR="00E42DE4">
        <w:rPr>
          <w:rFonts w:cs="Arial"/>
        </w:rPr>
        <w:t>3</w:t>
      </w:r>
      <w:r w:rsidRPr="00252B61">
        <w:rPr>
          <w:rFonts w:cs="Arial"/>
        </w:rPr>
        <w:t xml:space="preserve"> indicating there are no adverse impacts</w:t>
      </w:r>
      <w:r w:rsidR="00046501">
        <w:rPr>
          <w:rFonts w:cs="Arial"/>
        </w:rPr>
        <w:t>.</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B438B9">
              <w:t xml:space="preserve"> Simon </w:t>
            </w:r>
            <w:proofErr w:type="spellStart"/>
            <w:r w:rsidR="00B438B9">
              <w:t>Howick</w:t>
            </w:r>
            <w:proofErr w:type="spellEnd"/>
          </w:p>
        </w:tc>
      </w:tr>
      <w:tr w:rsidR="00713675">
        <w:tc>
          <w:tcPr>
            <w:tcW w:w="8522" w:type="dxa"/>
          </w:tcPr>
          <w:p w:rsidR="00713675" w:rsidRDefault="00713675" w:rsidP="00CC68B1">
            <w:pPr>
              <w:tabs>
                <w:tab w:val="left" w:pos="720"/>
                <w:tab w:val="left" w:pos="1440"/>
                <w:tab w:val="left" w:pos="2160"/>
                <w:tab w:val="left" w:pos="2880"/>
              </w:tabs>
            </w:pPr>
            <w:r>
              <w:t>Job title</w:t>
            </w:r>
            <w:r w:rsidR="00B438B9">
              <w:t xml:space="preserve"> </w:t>
            </w:r>
            <w:r w:rsidR="009B5BD7">
              <w:t xml:space="preserve">Corporate Lead </w:t>
            </w:r>
            <w:r w:rsidR="00CC68B1">
              <w:t>HR</w:t>
            </w:r>
            <w:r w:rsidR="009B5BD7">
              <w:t>/OD</w:t>
            </w:r>
          </w:p>
        </w:tc>
      </w:tr>
      <w:tr w:rsidR="00713675">
        <w:tc>
          <w:tcPr>
            <w:tcW w:w="8522" w:type="dxa"/>
          </w:tcPr>
          <w:p w:rsidR="00713675" w:rsidRDefault="00713675" w:rsidP="00E26A49">
            <w:pPr>
              <w:tabs>
                <w:tab w:val="left" w:pos="720"/>
                <w:tab w:val="left" w:pos="1440"/>
                <w:tab w:val="left" w:pos="2160"/>
                <w:tab w:val="left" w:pos="2880"/>
              </w:tabs>
            </w:pPr>
            <w:r>
              <w:t>Service Area / Department</w:t>
            </w:r>
            <w:r w:rsidR="00CC68B1">
              <w:t xml:space="preserve"> </w:t>
            </w:r>
            <w:r w:rsidR="00E26A49">
              <w:t xml:space="preserve"> OD and Corporate Services Directorate</w:t>
            </w:r>
          </w:p>
        </w:tc>
      </w:tr>
      <w:tr w:rsidR="00713675">
        <w:tc>
          <w:tcPr>
            <w:tcW w:w="8522" w:type="dxa"/>
          </w:tcPr>
          <w:p w:rsidR="00713675" w:rsidRDefault="00713675" w:rsidP="00B438B9">
            <w:pPr>
              <w:tabs>
                <w:tab w:val="left" w:pos="720"/>
                <w:tab w:val="left" w:pos="1440"/>
                <w:tab w:val="left" w:pos="2160"/>
                <w:tab w:val="left" w:pos="2880"/>
              </w:tabs>
              <w:rPr>
                <w:color w:val="0000FF"/>
                <w:u w:val="single"/>
              </w:rPr>
            </w:pPr>
            <w:r>
              <w:t xml:space="preserve">Tel:  01865 </w:t>
            </w:r>
            <w:r w:rsidR="00B438B9">
              <w:t>252547</w:t>
            </w:r>
            <w:r>
              <w:t xml:space="preserve">  e-mail: </w:t>
            </w:r>
            <w:r w:rsidR="00B438B9">
              <w:t>showick@oxford.gov.uk</w:t>
            </w:r>
            <w:r>
              <w:t xml:space="preserve"> </w:t>
            </w:r>
          </w:p>
        </w:tc>
      </w:tr>
    </w:tbl>
    <w:p w:rsidR="00F4367A" w:rsidRDefault="00F4367A">
      <w:pPr>
        <w:rPr>
          <w:rFonts w:cs="Arial"/>
          <w:b/>
          <w:bCs/>
          <w:sz w:val="20"/>
        </w:rPr>
      </w:pPr>
      <w:bookmarkStart w:id="0" w:name="_GoBack"/>
      <w:bookmarkEnd w:id="0"/>
    </w:p>
    <w:sectPr w:rsidR="00F4367A" w:rsidSect="00552933">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E6" w:rsidRDefault="00EB3BE6">
      <w:r>
        <w:separator/>
      </w:r>
    </w:p>
  </w:endnote>
  <w:endnote w:type="continuationSeparator" w:id="0">
    <w:p w:rsidR="00EB3BE6" w:rsidRDefault="00EB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929349"/>
      <w:docPartObj>
        <w:docPartGallery w:val="Page Numbers (Bottom of Page)"/>
        <w:docPartUnique/>
      </w:docPartObj>
    </w:sdtPr>
    <w:sdtEndPr>
      <w:rPr>
        <w:noProof/>
      </w:rPr>
    </w:sdtEndPr>
    <w:sdtContent>
      <w:p w:rsidR="00414B21" w:rsidRDefault="00414B21">
        <w:pPr>
          <w:pStyle w:val="Footer"/>
          <w:jc w:val="right"/>
        </w:pPr>
        <w:r>
          <w:fldChar w:fldCharType="begin"/>
        </w:r>
        <w:r>
          <w:instrText xml:space="preserve"> PAGE   \* MERGEFORMAT </w:instrText>
        </w:r>
        <w:r>
          <w:fldChar w:fldCharType="separate"/>
        </w:r>
        <w:r w:rsidR="004C49FB">
          <w:rPr>
            <w:noProof/>
          </w:rPr>
          <w:t>5</w:t>
        </w:r>
        <w:r>
          <w:rPr>
            <w:noProof/>
          </w:rPr>
          <w:fldChar w:fldCharType="end"/>
        </w:r>
      </w:p>
    </w:sdtContent>
  </w:sdt>
  <w:p w:rsidR="00414B21" w:rsidRDefault="0041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E6" w:rsidRDefault="00EB3BE6">
      <w:r>
        <w:separator/>
      </w:r>
    </w:p>
  </w:footnote>
  <w:footnote w:type="continuationSeparator" w:id="0">
    <w:p w:rsidR="00EB3BE6" w:rsidRDefault="00EB3BE6">
      <w:r>
        <w:continuationSeparator/>
      </w:r>
    </w:p>
  </w:footnote>
  <w:footnote w:id="1">
    <w:p w:rsidR="00E016A6" w:rsidRPr="00F37D79" w:rsidRDefault="00E016A6" w:rsidP="00E016A6">
      <w:pPr>
        <w:rPr>
          <w:i/>
          <w:sz w:val="20"/>
          <w:szCs w:val="20"/>
        </w:rPr>
      </w:pPr>
      <w:r w:rsidRPr="00F37D79">
        <w:rPr>
          <w:rStyle w:val="FootnoteReference"/>
          <w:i/>
          <w:sz w:val="20"/>
          <w:szCs w:val="20"/>
        </w:rPr>
        <w:footnoteRef/>
      </w:r>
      <w:r w:rsidRPr="00F37D79">
        <w:rPr>
          <w:i/>
          <w:sz w:val="20"/>
          <w:szCs w:val="20"/>
        </w:rPr>
        <w:t xml:space="preserve"> Under the old final salary scheme, members could choose to retire from age 60. Earlier retirement from age 55 required employer consent. Pensions were protected from reduction if the ‘85 Year Rule’ was met (age plus pension membership in whole years).</w:t>
      </w:r>
    </w:p>
    <w:p w:rsidR="00E016A6" w:rsidRDefault="00E016A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07A"/>
    <w:multiLevelType w:val="hybridMultilevel"/>
    <w:tmpl w:val="96CEC7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AC7EA7"/>
    <w:multiLevelType w:val="hybridMultilevel"/>
    <w:tmpl w:val="E5A80628"/>
    <w:lvl w:ilvl="0" w:tplc="DD50D1B8">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334DE"/>
    <w:multiLevelType w:val="hybridMultilevel"/>
    <w:tmpl w:val="AF3AEC9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82096"/>
    <w:multiLevelType w:val="hybridMultilevel"/>
    <w:tmpl w:val="AAAAE2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0C7B6E07"/>
    <w:multiLevelType w:val="hybridMultilevel"/>
    <w:tmpl w:val="C2827A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DA2676"/>
    <w:multiLevelType w:val="hybridMultilevel"/>
    <w:tmpl w:val="6AA4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0434D4"/>
    <w:multiLevelType w:val="hybridMultilevel"/>
    <w:tmpl w:val="EB76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F72382"/>
    <w:multiLevelType w:val="hybridMultilevel"/>
    <w:tmpl w:val="8206B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1C7E4F"/>
    <w:multiLevelType w:val="hybridMultilevel"/>
    <w:tmpl w:val="E464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034611"/>
    <w:multiLevelType w:val="hybridMultilevel"/>
    <w:tmpl w:val="C9066FA8"/>
    <w:lvl w:ilvl="0" w:tplc="CC406B16">
      <w:start w:val="1"/>
      <w:numFmt w:val="lowerLetter"/>
      <w:lvlText w:val="%1)"/>
      <w:lvlJc w:val="left"/>
      <w:pPr>
        <w:ind w:left="555" w:hanging="360"/>
      </w:pPr>
      <w:rPr>
        <w:rFonts w:cs="Times New Roman"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1">
    <w:nsid w:val="494655B7"/>
    <w:multiLevelType w:val="hybridMultilevel"/>
    <w:tmpl w:val="33C2FC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FAD5831"/>
    <w:multiLevelType w:val="hybridMultilevel"/>
    <w:tmpl w:val="212C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D2038"/>
    <w:multiLevelType w:val="hybridMultilevel"/>
    <w:tmpl w:val="C478A99C"/>
    <w:lvl w:ilvl="0" w:tplc="DD50D1B8">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764AB5"/>
    <w:multiLevelType w:val="hybridMultilevel"/>
    <w:tmpl w:val="C478A99C"/>
    <w:lvl w:ilvl="0" w:tplc="DD50D1B8">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4F30A0"/>
    <w:multiLevelType w:val="hybridMultilevel"/>
    <w:tmpl w:val="33BA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317FBE"/>
    <w:multiLevelType w:val="hybridMultilevel"/>
    <w:tmpl w:val="F61413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61A48B3"/>
    <w:multiLevelType w:val="hybridMultilevel"/>
    <w:tmpl w:val="713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3C2525"/>
    <w:multiLevelType w:val="hybridMultilevel"/>
    <w:tmpl w:val="F6744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BF26DE"/>
    <w:multiLevelType w:val="hybridMultilevel"/>
    <w:tmpl w:val="AFF24E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CC31BCB"/>
    <w:multiLevelType w:val="hybridMultilevel"/>
    <w:tmpl w:val="27A2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8"/>
  </w:num>
  <w:num w:numId="4">
    <w:abstractNumId w:val="5"/>
  </w:num>
  <w:num w:numId="5">
    <w:abstractNumId w:val="1"/>
  </w:num>
  <w:num w:numId="6">
    <w:abstractNumId w:val="20"/>
  </w:num>
  <w:num w:numId="7">
    <w:abstractNumId w:val="12"/>
  </w:num>
  <w:num w:numId="8">
    <w:abstractNumId w:val="3"/>
  </w:num>
  <w:num w:numId="9">
    <w:abstractNumId w:val="7"/>
  </w:num>
  <w:num w:numId="10">
    <w:abstractNumId w:val="6"/>
  </w:num>
  <w:num w:numId="11">
    <w:abstractNumId w:val="16"/>
  </w:num>
  <w:num w:numId="12">
    <w:abstractNumId w:val="17"/>
  </w:num>
  <w:num w:numId="13">
    <w:abstractNumId w:val="15"/>
  </w:num>
  <w:num w:numId="14">
    <w:abstractNumId w:val="4"/>
  </w:num>
  <w:num w:numId="15">
    <w:abstractNumId w:val="0"/>
  </w:num>
  <w:num w:numId="16">
    <w:abstractNumId w:val="19"/>
  </w:num>
  <w:num w:numId="17">
    <w:abstractNumId w:val="11"/>
  </w:num>
  <w:num w:numId="18">
    <w:abstractNumId w:val="2"/>
  </w:num>
  <w:num w:numId="19">
    <w:abstractNumId w:val="1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413F"/>
    <w:rsid w:val="00013181"/>
    <w:rsid w:val="00017896"/>
    <w:rsid w:val="00025676"/>
    <w:rsid w:val="00025A8B"/>
    <w:rsid w:val="000270B4"/>
    <w:rsid w:val="00046501"/>
    <w:rsid w:val="00056263"/>
    <w:rsid w:val="0008095C"/>
    <w:rsid w:val="00086DF4"/>
    <w:rsid w:val="00095A78"/>
    <w:rsid w:val="000C3928"/>
    <w:rsid w:val="000C3F93"/>
    <w:rsid w:val="000F5C9C"/>
    <w:rsid w:val="00103E25"/>
    <w:rsid w:val="00112AF3"/>
    <w:rsid w:val="00133E95"/>
    <w:rsid w:val="001348F7"/>
    <w:rsid w:val="0013599B"/>
    <w:rsid w:val="00150787"/>
    <w:rsid w:val="00160AA9"/>
    <w:rsid w:val="001658A0"/>
    <w:rsid w:val="001A6C8C"/>
    <w:rsid w:val="001B5801"/>
    <w:rsid w:val="001C379D"/>
    <w:rsid w:val="002145A2"/>
    <w:rsid w:val="00224C6F"/>
    <w:rsid w:val="0023028C"/>
    <w:rsid w:val="00232811"/>
    <w:rsid w:val="002416EB"/>
    <w:rsid w:val="00250D61"/>
    <w:rsid w:val="00252B61"/>
    <w:rsid w:val="00287FB7"/>
    <w:rsid w:val="00290459"/>
    <w:rsid w:val="002B1DE5"/>
    <w:rsid w:val="002B25C9"/>
    <w:rsid w:val="002C3539"/>
    <w:rsid w:val="002D1FBA"/>
    <w:rsid w:val="002D6DF5"/>
    <w:rsid w:val="002E49E9"/>
    <w:rsid w:val="002F39E0"/>
    <w:rsid w:val="00300B30"/>
    <w:rsid w:val="00305D6F"/>
    <w:rsid w:val="00383CAC"/>
    <w:rsid w:val="0039011B"/>
    <w:rsid w:val="003914D7"/>
    <w:rsid w:val="003D0382"/>
    <w:rsid w:val="003D54D2"/>
    <w:rsid w:val="003E06FF"/>
    <w:rsid w:val="003E6867"/>
    <w:rsid w:val="003F5E62"/>
    <w:rsid w:val="00414B21"/>
    <w:rsid w:val="00422D29"/>
    <w:rsid w:val="00430813"/>
    <w:rsid w:val="004335A8"/>
    <w:rsid w:val="0043712F"/>
    <w:rsid w:val="004417C8"/>
    <w:rsid w:val="00452DE3"/>
    <w:rsid w:val="004639DB"/>
    <w:rsid w:val="00465EAF"/>
    <w:rsid w:val="00473083"/>
    <w:rsid w:val="004A5DC5"/>
    <w:rsid w:val="004B6F61"/>
    <w:rsid w:val="004C49FB"/>
    <w:rsid w:val="004F3887"/>
    <w:rsid w:val="00505802"/>
    <w:rsid w:val="00515B12"/>
    <w:rsid w:val="00525D84"/>
    <w:rsid w:val="0052634D"/>
    <w:rsid w:val="005373DF"/>
    <w:rsid w:val="005423A5"/>
    <w:rsid w:val="00545BFA"/>
    <w:rsid w:val="00552933"/>
    <w:rsid w:val="00555FF2"/>
    <w:rsid w:val="005653B6"/>
    <w:rsid w:val="005709A4"/>
    <w:rsid w:val="005A7EA1"/>
    <w:rsid w:val="005B739B"/>
    <w:rsid w:val="005C6B97"/>
    <w:rsid w:val="005E64F1"/>
    <w:rsid w:val="005F4EC2"/>
    <w:rsid w:val="00615778"/>
    <w:rsid w:val="00623C2F"/>
    <w:rsid w:val="00625B9A"/>
    <w:rsid w:val="00634F46"/>
    <w:rsid w:val="00640078"/>
    <w:rsid w:val="00655C23"/>
    <w:rsid w:val="00657CEE"/>
    <w:rsid w:val="00676206"/>
    <w:rsid w:val="0068515D"/>
    <w:rsid w:val="006E3B55"/>
    <w:rsid w:val="006E4BEC"/>
    <w:rsid w:val="006F416B"/>
    <w:rsid w:val="00713675"/>
    <w:rsid w:val="00715173"/>
    <w:rsid w:val="00717CEF"/>
    <w:rsid w:val="007433CA"/>
    <w:rsid w:val="00763543"/>
    <w:rsid w:val="007B12E9"/>
    <w:rsid w:val="007B669E"/>
    <w:rsid w:val="007B6E54"/>
    <w:rsid w:val="007B7AC4"/>
    <w:rsid w:val="007C1B69"/>
    <w:rsid w:val="007C7C19"/>
    <w:rsid w:val="007E0684"/>
    <w:rsid w:val="007F2BB6"/>
    <w:rsid w:val="008022C6"/>
    <w:rsid w:val="008063F7"/>
    <w:rsid w:val="00810663"/>
    <w:rsid w:val="00821AEF"/>
    <w:rsid w:val="00834911"/>
    <w:rsid w:val="00844442"/>
    <w:rsid w:val="00855C66"/>
    <w:rsid w:val="0088625B"/>
    <w:rsid w:val="00887C18"/>
    <w:rsid w:val="008903E2"/>
    <w:rsid w:val="00894C79"/>
    <w:rsid w:val="00896E49"/>
    <w:rsid w:val="008D23F3"/>
    <w:rsid w:val="008D3DDB"/>
    <w:rsid w:val="009174E6"/>
    <w:rsid w:val="00922AE6"/>
    <w:rsid w:val="00930622"/>
    <w:rsid w:val="00943BBF"/>
    <w:rsid w:val="00964323"/>
    <w:rsid w:val="00965357"/>
    <w:rsid w:val="00971689"/>
    <w:rsid w:val="00973E90"/>
    <w:rsid w:val="009B5BD7"/>
    <w:rsid w:val="009D24D1"/>
    <w:rsid w:val="009D39A7"/>
    <w:rsid w:val="009E6298"/>
    <w:rsid w:val="009F7DC6"/>
    <w:rsid w:val="00A010BB"/>
    <w:rsid w:val="00A34D11"/>
    <w:rsid w:val="00A65324"/>
    <w:rsid w:val="00A7602A"/>
    <w:rsid w:val="00A86ACB"/>
    <w:rsid w:val="00A87A76"/>
    <w:rsid w:val="00A92D8F"/>
    <w:rsid w:val="00AB17A9"/>
    <w:rsid w:val="00AC3B55"/>
    <w:rsid w:val="00AD190A"/>
    <w:rsid w:val="00AD3292"/>
    <w:rsid w:val="00AE0139"/>
    <w:rsid w:val="00AE5AB8"/>
    <w:rsid w:val="00AF2596"/>
    <w:rsid w:val="00AF5517"/>
    <w:rsid w:val="00AF63E2"/>
    <w:rsid w:val="00B05C16"/>
    <w:rsid w:val="00B438B9"/>
    <w:rsid w:val="00B45086"/>
    <w:rsid w:val="00B47D3F"/>
    <w:rsid w:val="00B66645"/>
    <w:rsid w:val="00B66BD9"/>
    <w:rsid w:val="00B735F2"/>
    <w:rsid w:val="00B84033"/>
    <w:rsid w:val="00BA59D8"/>
    <w:rsid w:val="00BC4D43"/>
    <w:rsid w:val="00BC7963"/>
    <w:rsid w:val="00C1167C"/>
    <w:rsid w:val="00C2692F"/>
    <w:rsid w:val="00C34E00"/>
    <w:rsid w:val="00C474D6"/>
    <w:rsid w:val="00C62FF8"/>
    <w:rsid w:val="00C65444"/>
    <w:rsid w:val="00C65BBA"/>
    <w:rsid w:val="00C66953"/>
    <w:rsid w:val="00C66C61"/>
    <w:rsid w:val="00C86B7E"/>
    <w:rsid w:val="00CA2320"/>
    <w:rsid w:val="00CA5B70"/>
    <w:rsid w:val="00CB70A5"/>
    <w:rsid w:val="00CC3662"/>
    <w:rsid w:val="00CC68B1"/>
    <w:rsid w:val="00CD054D"/>
    <w:rsid w:val="00CD1A7C"/>
    <w:rsid w:val="00CD2CD0"/>
    <w:rsid w:val="00CE6D40"/>
    <w:rsid w:val="00CE782B"/>
    <w:rsid w:val="00CF05C6"/>
    <w:rsid w:val="00D0581D"/>
    <w:rsid w:val="00D214D9"/>
    <w:rsid w:val="00D50F81"/>
    <w:rsid w:val="00D666C1"/>
    <w:rsid w:val="00D7191D"/>
    <w:rsid w:val="00D84C8A"/>
    <w:rsid w:val="00DA3559"/>
    <w:rsid w:val="00DA63D2"/>
    <w:rsid w:val="00DB176F"/>
    <w:rsid w:val="00DB206A"/>
    <w:rsid w:val="00DC1E66"/>
    <w:rsid w:val="00DE1FEB"/>
    <w:rsid w:val="00DE443A"/>
    <w:rsid w:val="00DE51A9"/>
    <w:rsid w:val="00DF6633"/>
    <w:rsid w:val="00E016A6"/>
    <w:rsid w:val="00E01F42"/>
    <w:rsid w:val="00E071C7"/>
    <w:rsid w:val="00E14662"/>
    <w:rsid w:val="00E1727F"/>
    <w:rsid w:val="00E25B2F"/>
    <w:rsid w:val="00E26A49"/>
    <w:rsid w:val="00E4055F"/>
    <w:rsid w:val="00E42DE4"/>
    <w:rsid w:val="00E4644F"/>
    <w:rsid w:val="00E5438E"/>
    <w:rsid w:val="00E60C8D"/>
    <w:rsid w:val="00E85A59"/>
    <w:rsid w:val="00EA0DB1"/>
    <w:rsid w:val="00EA2FDD"/>
    <w:rsid w:val="00EA3443"/>
    <w:rsid w:val="00EA578E"/>
    <w:rsid w:val="00EB0E4C"/>
    <w:rsid w:val="00EB3BE6"/>
    <w:rsid w:val="00EB4AE3"/>
    <w:rsid w:val="00EC1C39"/>
    <w:rsid w:val="00EE1F39"/>
    <w:rsid w:val="00EE6C01"/>
    <w:rsid w:val="00EF5F3D"/>
    <w:rsid w:val="00EF7831"/>
    <w:rsid w:val="00F04A3A"/>
    <w:rsid w:val="00F1485D"/>
    <w:rsid w:val="00F30BE2"/>
    <w:rsid w:val="00F313CD"/>
    <w:rsid w:val="00F37D79"/>
    <w:rsid w:val="00F418DC"/>
    <w:rsid w:val="00F41A26"/>
    <w:rsid w:val="00F4367A"/>
    <w:rsid w:val="00F60FEE"/>
    <w:rsid w:val="00F7606D"/>
    <w:rsid w:val="00F81E1F"/>
    <w:rsid w:val="00FA315A"/>
    <w:rsid w:val="00FA624C"/>
    <w:rsid w:val="00FA7802"/>
    <w:rsid w:val="00FC1A41"/>
    <w:rsid w:val="00FC592D"/>
    <w:rsid w:val="00FD0F9F"/>
    <w:rsid w:val="00FD34CA"/>
    <w:rsid w:val="00FE5756"/>
    <w:rsid w:val="00FF2A23"/>
    <w:rsid w:val="00FF2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EA3443"/>
    <w:pPr>
      <w:ind w:left="720"/>
      <w:contextualSpacing/>
    </w:pPr>
  </w:style>
  <w:style w:type="table" w:styleId="TableGrid">
    <w:name w:val="Table Grid"/>
    <w:basedOn w:val="TableNormal"/>
    <w:uiPriority w:val="59"/>
    <w:rsid w:val="00D50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B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14B21"/>
    <w:rPr>
      <w:rFonts w:ascii="Arial" w:hAnsi="Arial"/>
      <w:sz w:val="24"/>
      <w:szCs w:val="24"/>
      <w:lang w:eastAsia="en-US"/>
    </w:rPr>
  </w:style>
  <w:style w:type="paragraph" w:styleId="FootnoteText">
    <w:name w:val="footnote text"/>
    <w:basedOn w:val="Normal"/>
    <w:link w:val="FootnoteTextChar"/>
    <w:rsid w:val="00E016A6"/>
    <w:rPr>
      <w:sz w:val="20"/>
      <w:szCs w:val="20"/>
    </w:rPr>
  </w:style>
  <w:style w:type="character" w:customStyle="1" w:styleId="FootnoteTextChar">
    <w:name w:val="Footnote Text Char"/>
    <w:basedOn w:val="DefaultParagraphFont"/>
    <w:link w:val="FootnoteText"/>
    <w:rsid w:val="00E016A6"/>
    <w:rPr>
      <w:rFonts w:ascii="Arial" w:hAnsi="Arial"/>
      <w:lang w:eastAsia="en-US"/>
    </w:rPr>
  </w:style>
  <w:style w:type="character" w:styleId="FootnoteReference">
    <w:name w:val="footnote reference"/>
    <w:basedOn w:val="DefaultParagraphFont"/>
    <w:rsid w:val="00E0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EA3443"/>
    <w:pPr>
      <w:ind w:left="720"/>
      <w:contextualSpacing/>
    </w:pPr>
  </w:style>
  <w:style w:type="table" w:styleId="TableGrid">
    <w:name w:val="Table Grid"/>
    <w:basedOn w:val="TableNormal"/>
    <w:uiPriority w:val="59"/>
    <w:rsid w:val="00D50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B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14B21"/>
    <w:rPr>
      <w:rFonts w:ascii="Arial" w:hAnsi="Arial"/>
      <w:sz w:val="24"/>
      <w:szCs w:val="24"/>
      <w:lang w:eastAsia="en-US"/>
    </w:rPr>
  </w:style>
  <w:style w:type="paragraph" w:styleId="FootnoteText">
    <w:name w:val="footnote text"/>
    <w:basedOn w:val="Normal"/>
    <w:link w:val="FootnoteTextChar"/>
    <w:rsid w:val="00E016A6"/>
    <w:rPr>
      <w:sz w:val="20"/>
      <w:szCs w:val="20"/>
    </w:rPr>
  </w:style>
  <w:style w:type="character" w:customStyle="1" w:styleId="FootnoteTextChar">
    <w:name w:val="Footnote Text Char"/>
    <w:basedOn w:val="DefaultParagraphFont"/>
    <w:link w:val="FootnoteText"/>
    <w:rsid w:val="00E016A6"/>
    <w:rPr>
      <w:rFonts w:ascii="Arial" w:hAnsi="Arial"/>
      <w:lang w:eastAsia="en-US"/>
    </w:rPr>
  </w:style>
  <w:style w:type="character" w:styleId="FootnoteReference">
    <w:name w:val="footnote reference"/>
    <w:basedOn w:val="DefaultParagraphFont"/>
    <w:rsid w:val="00E0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2865">
      <w:bodyDiv w:val="1"/>
      <w:marLeft w:val="0"/>
      <w:marRight w:val="0"/>
      <w:marTop w:val="0"/>
      <w:marBottom w:val="0"/>
      <w:divBdr>
        <w:top w:val="none" w:sz="0" w:space="0" w:color="auto"/>
        <w:left w:val="none" w:sz="0" w:space="0" w:color="auto"/>
        <w:bottom w:val="none" w:sz="0" w:space="0" w:color="auto"/>
        <w:right w:val="none" w:sz="0" w:space="0" w:color="auto"/>
      </w:divBdr>
    </w:div>
    <w:div w:id="19188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C3EA-DC5B-4B15-9589-1962F2E5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A12B891A</Template>
  <TotalTime>5</TotalTime>
  <Pages>5</Pages>
  <Words>1258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5</cp:revision>
  <cp:lastPrinted>2015-11-03T16:34:00Z</cp:lastPrinted>
  <dcterms:created xsi:type="dcterms:W3CDTF">2015-11-19T14:19:00Z</dcterms:created>
  <dcterms:modified xsi:type="dcterms:W3CDTF">2015-11-25T16:37:00Z</dcterms:modified>
</cp:coreProperties>
</file>